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hint="eastAsia" w:ascii="方正小标宋简体" w:hAnsi="仿宋" w:eastAsia="方正小标宋简体"/>
          <w:snapToGrid w:val="0"/>
          <w:kern w:val="0"/>
          <w:sz w:val="44"/>
          <w:szCs w:val="44"/>
          <w:shd w:val="clear" w:color="auto" w:fill="FFFFFF"/>
        </w:rPr>
      </w:pPr>
      <w:r>
        <w:rPr>
          <w:rFonts w:hint="eastAsia" w:ascii="方正小标宋简体" w:hAnsi="仿宋" w:eastAsia="方正小标宋简体"/>
          <w:snapToGrid w:val="0"/>
          <w:kern w:val="0"/>
          <w:sz w:val="44"/>
          <w:szCs w:val="44"/>
          <w:shd w:val="clear" w:color="auto" w:fill="FFFFFF"/>
        </w:rPr>
        <w:t>三亚市发展和改革委员会</w:t>
      </w:r>
    </w:p>
    <w:p>
      <w:pPr>
        <w:adjustRightInd w:val="0"/>
        <w:snapToGrid w:val="0"/>
        <w:jc w:val="center"/>
        <w:rPr>
          <w:rFonts w:hint="eastAsia" w:ascii="方正小标宋简体" w:hAnsi="仿宋" w:eastAsia="方正小标宋简体"/>
          <w:snapToGrid w:val="0"/>
          <w:kern w:val="0"/>
          <w:sz w:val="44"/>
          <w:szCs w:val="44"/>
          <w:shd w:val="clear" w:color="auto" w:fill="FFFFFF"/>
        </w:rPr>
      </w:pPr>
      <w:bookmarkStart w:id="0" w:name="_GoBack"/>
      <w:r>
        <w:rPr>
          <w:rFonts w:hint="eastAsia" w:ascii="方正小标宋简体" w:hAnsi="仿宋" w:eastAsia="方正小标宋简体"/>
          <w:snapToGrid w:val="0"/>
          <w:kern w:val="0"/>
          <w:sz w:val="44"/>
          <w:szCs w:val="44"/>
          <w:shd w:val="clear" w:color="auto" w:fill="FFFFFF"/>
        </w:rPr>
        <w:t>2014年政府信息公开工作年度报告</w:t>
      </w:r>
      <w:bookmarkEnd w:id="0"/>
    </w:p>
    <w:p>
      <w:pPr>
        <w:rPr>
          <w:rFonts w:ascii="仿宋" w:hAnsi="仿宋" w:eastAsia="仿宋"/>
          <w:snapToGrid w:val="0"/>
          <w:kern w:val="0"/>
          <w:sz w:val="44"/>
          <w:szCs w:val="44"/>
          <w:shd w:val="clear" w:color="auto" w:fill="FFFFFF"/>
        </w:rPr>
      </w:pPr>
    </w:p>
    <w:p>
      <w:pPr>
        <w:ind w:firstLine="640" w:firstLineChars="200"/>
        <w:rPr>
          <w:rFonts w:ascii="仿宋" w:hAnsi="仿宋" w:eastAsia="仿宋"/>
          <w:snapToGrid w:val="0"/>
          <w:kern w:val="0"/>
          <w:sz w:val="32"/>
          <w:szCs w:val="32"/>
          <w:shd w:val="clear" w:color="auto" w:fill="FFFFFF"/>
        </w:rPr>
      </w:pPr>
      <w:r>
        <w:rPr>
          <w:rFonts w:ascii="仿宋" w:hAnsi="仿宋" w:eastAsia="仿宋"/>
          <w:snapToGrid w:val="0"/>
          <w:kern w:val="0"/>
          <w:sz w:val="32"/>
          <w:szCs w:val="32"/>
          <w:shd w:val="clear" w:color="auto" w:fill="FFFFFF"/>
        </w:rPr>
        <w:t>根据《中华人民共和国政府信息公开条例》</w:t>
      </w:r>
      <w:r>
        <w:rPr>
          <w:rFonts w:hint="eastAsia" w:ascii="仿宋" w:hAnsi="仿宋" w:eastAsia="仿宋"/>
          <w:snapToGrid w:val="0"/>
          <w:kern w:val="0"/>
          <w:sz w:val="32"/>
          <w:szCs w:val="32"/>
        </w:rPr>
        <w:t>（国务院令第492号）</w:t>
      </w:r>
      <w:r>
        <w:rPr>
          <w:rFonts w:ascii="仿宋" w:hAnsi="仿宋" w:eastAsia="仿宋"/>
          <w:snapToGrid w:val="0"/>
          <w:kern w:val="0"/>
          <w:sz w:val="32"/>
          <w:szCs w:val="32"/>
          <w:shd w:val="clear" w:color="auto" w:fill="FFFFFF"/>
        </w:rPr>
        <w:t>要求，</w:t>
      </w:r>
      <w:r>
        <w:rPr>
          <w:rFonts w:hint="eastAsia" w:ascii="仿宋" w:hAnsi="仿宋" w:eastAsia="仿宋"/>
          <w:snapToGrid w:val="0"/>
          <w:kern w:val="0"/>
          <w:sz w:val="32"/>
          <w:szCs w:val="32"/>
          <w:shd w:val="clear" w:color="auto" w:fill="FFFFFF"/>
        </w:rPr>
        <w:t>三亚市</w:t>
      </w:r>
      <w:r>
        <w:rPr>
          <w:rFonts w:ascii="仿宋" w:hAnsi="仿宋" w:eastAsia="仿宋"/>
          <w:snapToGrid w:val="0"/>
          <w:kern w:val="0"/>
          <w:sz w:val="32"/>
          <w:szCs w:val="32"/>
          <w:shd w:val="clear" w:color="auto" w:fill="FFFFFF"/>
        </w:rPr>
        <w:t>发展和改革委员会编制了201</w:t>
      </w:r>
      <w:r>
        <w:rPr>
          <w:rFonts w:hint="eastAsia" w:ascii="仿宋" w:hAnsi="仿宋" w:eastAsia="仿宋"/>
          <w:snapToGrid w:val="0"/>
          <w:kern w:val="0"/>
          <w:sz w:val="32"/>
          <w:szCs w:val="32"/>
          <w:shd w:val="clear" w:color="auto" w:fill="FFFFFF"/>
        </w:rPr>
        <w:t>4</w:t>
      </w:r>
      <w:r>
        <w:rPr>
          <w:rFonts w:ascii="仿宋" w:hAnsi="仿宋" w:eastAsia="仿宋"/>
          <w:snapToGrid w:val="0"/>
          <w:kern w:val="0"/>
          <w:sz w:val="32"/>
          <w:szCs w:val="32"/>
          <w:shd w:val="clear" w:color="auto" w:fill="FFFFFF"/>
        </w:rPr>
        <w:t>年</w:t>
      </w:r>
      <w:r>
        <w:rPr>
          <w:rFonts w:hint="eastAsia" w:ascii="仿宋" w:hAnsi="仿宋" w:eastAsia="仿宋"/>
          <w:snapToGrid w:val="0"/>
          <w:kern w:val="0"/>
          <w:sz w:val="32"/>
          <w:szCs w:val="32"/>
          <w:shd w:val="clear" w:color="auto" w:fill="FFFFFF"/>
        </w:rPr>
        <w:t>政府信息公开工作年度</w:t>
      </w:r>
      <w:r>
        <w:rPr>
          <w:rFonts w:ascii="仿宋" w:hAnsi="仿宋" w:eastAsia="仿宋"/>
          <w:snapToGrid w:val="0"/>
          <w:kern w:val="0"/>
          <w:sz w:val="32"/>
          <w:szCs w:val="32"/>
          <w:shd w:val="clear" w:color="auto" w:fill="FFFFFF"/>
        </w:rPr>
        <w:t>报告。</w:t>
      </w:r>
      <w:r>
        <w:rPr>
          <w:rFonts w:hint="eastAsia" w:ascii="仿宋" w:hAnsi="仿宋" w:eastAsia="仿宋"/>
          <w:snapToGrid w:val="0"/>
          <w:kern w:val="0"/>
          <w:sz w:val="32"/>
          <w:szCs w:val="32"/>
          <w:shd w:val="clear" w:color="auto" w:fill="FFFFFF"/>
        </w:rPr>
        <w:t>内容</w:t>
      </w:r>
      <w:r>
        <w:rPr>
          <w:rFonts w:ascii="仿宋" w:hAnsi="仿宋" w:eastAsia="仿宋"/>
          <w:snapToGrid w:val="0"/>
          <w:kern w:val="0"/>
          <w:sz w:val="32"/>
          <w:szCs w:val="32"/>
          <w:shd w:val="clear" w:color="auto" w:fill="FFFFFF"/>
        </w:rPr>
        <w:t>包括政府信息主动公开情况、政府信息依申请公开情况、政府信息公开收费情况、行政复议情况、存在的问题及改进措施等内容。</w:t>
      </w:r>
    </w:p>
    <w:p>
      <w:pPr>
        <w:ind w:firstLine="640" w:firstLineChars="200"/>
        <w:rPr>
          <w:rFonts w:ascii="黑体" w:hAnsi="黑体" w:eastAsia="黑体"/>
          <w:snapToGrid w:val="0"/>
          <w:kern w:val="0"/>
          <w:sz w:val="32"/>
          <w:szCs w:val="32"/>
          <w:shd w:val="clear" w:color="auto" w:fill="FFFFFF"/>
        </w:rPr>
      </w:pPr>
      <w:r>
        <w:rPr>
          <w:rFonts w:ascii="黑体" w:hAnsi="黑体" w:eastAsia="黑体"/>
          <w:snapToGrid w:val="0"/>
          <w:kern w:val="0"/>
          <w:sz w:val="32"/>
          <w:szCs w:val="32"/>
          <w:shd w:val="clear" w:color="auto" w:fill="FFFFFF"/>
        </w:rPr>
        <w:t>一</w:t>
      </w:r>
      <w:r>
        <w:rPr>
          <w:rFonts w:hint="eastAsia" w:ascii="黑体" w:hAnsi="黑体" w:eastAsia="黑体"/>
          <w:snapToGrid w:val="0"/>
          <w:kern w:val="0"/>
          <w:sz w:val="32"/>
          <w:szCs w:val="32"/>
          <w:shd w:val="clear" w:color="auto" w:fill="FFFFFF"/>
        </w:rPr>
        <w:t>、</w:t>
      </w:r>
      <w:r>
        <w:rPr>
          <w:rFonts w:ascii="黑体" w:hAnsi="黑体" w:eastAsia="黑体"/>
          <w:snapToGrid w:val="0"/>
          <w:kern w:val="0"/>
          <w:sz w:val="32"/>
          <w:szCs w:val="32"/>
          <w:shd w:val="clear" w:color="auto" w:fill="FFFFFF"/>
        </w:rPr>
        <w:t>政府信息</w:t>
      </w:r>
      <w:r>
        <w:rPr>
          <w:rFonts w:hint="eastAsia" w:ascii="黑体" w:hAnsi="黑体" w:eastAsia="黑体"/>
          <w:snapToGrid w:val="0"/>
          <w:kern w:val="0"/>
          <w:sz w:val="32"/>
          <w:szCs w:val="32"/>
          <w:shd w:val="clear" w:color="auto" w:fill="FFFFFF"/>
        </w:rPr>
        <w:t>主动</w:t>
      </w:r>
      <w:r>
        <w:rPr>
          <w:rFonts w:ascii="黑体" w:hAnsi="黑体" w:eastAsia="黑体"/>
          <w:snapToGrid w:val="0"/>
          <w:kern w:val="0"/>
          <w:sz w:val="32"/>
          <w:szCs w:val="32"/>
          <w:shd w:val="clear" w:color="auto" w:fill="FFFFFF"/>
        </w:rPr>
        <w:t>公开情况</w:t>
      </w:r>
    </w:p>
    <w:p>
      <w:pPr>
        <w:spacing w:line="540" w:lineRule="exact"/>
        <w:ind w:firstLine="800" w:firstLineChars="250"/>
        <w:rPr>
          <w:rFonts w:hint="eastAsia" w:eastAsia="仿宋_GB2312"/>
          <w:sz w:val="32"/>
          <w:szCs w:val="32"/>
        </w:rPr>
      </w:pPr>
      <w:r>
        <w:rPr>
          <w:rFonts w:hint="eastAsia" w:ascii="仿宋" w:hAnsi="仿宋" w:eastAsia="仿宋"/>
          <w:snapToGrid w:val="0"/>
          <w:kern w:val="0"/>
          <w:sz w:val="32"/>
          <w:szCs w:val="32"/>
          <w:shd w:val="clear" w:color="auto" w:fill="FFFFFF"/>
        </w:rPr>
        <w:t>2014</w:t>
      </w:r>
      <w:r>
        <w:rPr>
          <w:rFonts w:ascii="仿宋" w:hAnsi="仿宋" w:eastAsia="仿宋"/>
          <w:snapToGrid w:val="0"/>
          <w:kern w:val="0"/>
          <w:sz w:val="32"/>
          <w:szCs w:val="32"/>
          <w:shd w:val="clear" w:color="auto" w:fill="FFFFFF"/>
        </w:rPr>
        <w:t>年我委深入贯彻落实党的十八</w:t>
      </w:r>
      <w:r>
        <w:rPr>
          <w:rFonts w:hint="eastAsia" w:ascii="仿宋" w:hAnsi="仿宋" w:eastAsia="仿宋"/>
          <w:snapToGrid w:val="0"/>
          <w:kern w:val="0"/>
          <w:sz w:val="32"/>
          <w:szCs w:val="32"/>
          <w:shd w:val="clear" w:color="auto" w:fill="FFFFFF"/>
        </w:rPr>
        <w:t>届三中、四中全会</w:t>
      </w:r>
      <w:r>
        <w:rPr>
          <w:rFonts w:ascii="仿宋" w:hAnsi="仿宋" w:eastAsia="仿宋"/>
          <w:snapToGrid w:val="0"/>
          <w:kern w:val="0"/>
          <w:sz w:val="32"/>
          <w:szCs w:val="32"/>
          <w:shd w:val="clear" w:color="auto" w:fill="FFFFFF"/>
        </w:rPr>
        <w:t>精神，</w:t>
      </w:r>
      <w:r>
        <w:rPr>
          <w:rFonts w:hint="eastAsia" w:ascii="仿宋" w:hAnsi="仿宋" w:eastAsia="仿宋"/>
          <w:sz w:val="32"/>
          <w:szCs w:val="32"/>
        </w:rPr>
        <w:t>坚持以推进项目建设</w:t>
      </w:r>
      <w:r>
        <w:rPr>
          <w:rFonts w:hint="eastAsia" w:ascii="仿宋" w:hAnsi="仿宋" w:eastAsia="仿宋"/>
          <w:color w:val="000000"/>
          <w:sz w:val="32"/>
          <w:szCs w:val="32"/>
        </w:rPr>
        <w:t>为主线，</w:t>
      </w:r>
      <w:r>
        <w:rPr>
          <w:rFonts w:hint="eastAsia" w:ascii="仿宋" w:hAnsi="仿宋" w:eastAsia="仿宋"/>
          <w:sz w:val="32"/>
          <w:szCs w:val="32"/>
        </w:rPr>
        <w:t>以强化效能建设为着力点，加强政策研</w:t>
      </w:r>
      <w:r>
        <w:rPr>
          <w:rFonts w:hint="eastAsia" w:ascii="仿宋" w:hAnsi="仿宋" w:eastAsia="仿宋"/>
          <w:color w:val="000000"/>
          <w:sz w:val="32"/>
          <w:szCs w:val="32"/>
        </w:rPr>
        <w:t>究和</w:t>
      </w:r>
      <w:r>
        <w:rPr>
          <w:rFonts w:hint="eastAsia" w:ascii="仿宋" w:hAnsi="仿宋" w:eastAsia="仿宋"/>
          <w:color w:val="000000"/>
          <w:sz w:val="32"/>
          <w:szCs w:val="21"/>
        </w:rPr>
        <w:t>经济运行预警监测，努力发挥综合经济部门在</w:t>
      </w:r>
      <w:r>
        <w:rPr>
          <w:rFonts w:hint="eastAsia" w:ascii="仿宋" w:hAnsi="仿宋" w:eastAsia="仿宋"/>
          <w:color w:val="000000"/>
          <w:sz w:val="32"/>
          <w:szCs w:val="32"/>
        </w:rPr>
        <w:t>建设国际旅游岛和国际热带滨海旅游城市</w:t>
      </w:r>
      <w:r>
        <w:rPr>
          <w:rFonts w:hint="eastAsia" w:ascii="仿宋" w:hAnsi="仿宋" w:eastAsia="仿宋"/>
          <w:color w:val="000000"/>
          <w:sz w:val="32"/>
          <w:szCs w:val="21"/>
        </w:rPr>
        <w:t>中的职</w:t>
      </w:r>
      <w:r>
        <w:rPr>
          <w:rFonts w:hint="eastAsia" w:ascii="仿宋" w:hAnsi="仿宋" w:eastAsia="仿宋"/>
          <w:sz w:val="32"/>
          <w:szCs w:val="21"/>
        </w:rPr>
        <w:t>能</w:t>
      </w:r>
      <w:r>
        <w:rPr>
          <w:rFonts w:hint="eastAsia" w:ascii="仿宋" w:hAnsi="仿宋" w:eastAsia="仿宋"/>
          <w:sz w:val="32"/>
          <w:szCs w:val="32"/>
        </w:rPr>
        <w:t>作用</w:t>
      </w:r>
      <w:r>
        <w:rPr>
          <w:rFonts w:hint="eastAsia" w:ascii="仿宋" w:hAnsi="仿宋" w:eastAsia="仿宋" w:cs="Arial"/>
          <w:color w:val="000000"/>
          <w:sz w:val="32"/>
          <w:szCs w:val="32"/>
        </w:rPr>
        <w:t>，着力推动经济转型发展，促进经济提质增效，</w:t>
      </w:r>
      <w:r>
        <w:rPr>
          <w:rFonts w:ascii="仿宋" w:hAnsi="仿宋" w:eastAsia="仿宋"/>
          <w:color w:val="000000"/>
          <w:sz w:val="32"/>
          <w:szCs w:val="32"/>
          <w:shd w:val="clear" w:color="auto" w:fill="FFFFFF"/>
        </w:rPr>
        <w:t>在编规划、抓项目、调结构、促改革、惠民生等方面积极开展新闻宣传和舆论引导，</w:t>
      </w:r>
      <w:r>
        <w:rPr>
          <w:rFonts w:hint="eastAsia" w:ascii="仿宋" w:hAnsi="仿宋" w:eastAsia="仿宋"/>
          <w:sz w:val="32"/>
          <w:szCs w:val="32"/>
        </w:rPr>
        <w:t>为推动全市经济平稳健康发展和社会事业的全面进步做出了积极贡献。</w:t>
      </w:r>
      <w:r>
        <w:rPr>
          <w:rFonts w:ascii="仿宋" w:hAnsi="仿宋" w:eastAsia="仿宋"/>
          <w:snapToGrid w:val="0"/>
          <w:kern w:val="0"/>
          <w:sz w:val="32"/>
          <w:szCs w:val="32"/>
          <w:shd w:val="clear" w:color="auto" w:fill="FFFFFF"/>
        </w:rPr>
        <w:t>通过</w:t>
      </w:r>
      <w:r>
        <w:rPr>
          <w:rFonts w:hint="eastAsia" w:ascii="仿宋" w:hAnsi="仿宋" w:eastAsia="仿宋"/>
          <w:snapToGrid w:val="0"/>
          <w:kern w:val="0"/>
          <w:sz w:val="32"/>
          <w:szCs w:val="32"/>
          <w:shd w:val="clear" w:color="auto" w:fill="FFFFFF"/>
        </w:rPr>
        <w:t>三亚市政府</w:t>
      </w:r>
      <w:r>
        <w:rPr>
          <w:rFonts w:ascii="仿宋" w:hAnsi="仿宋" w:eastAsia="仿宋"/>
          <w:snapToGrid w:val="0"/>
          <w:kern w:val="0"/>
          <w:sz w:val="32"/>
          <w:szCs w:val="32"/>
          <w:shd w:val="clear" w:color="auto" w:fill="FFFFFF"/>
        </w:rPr>
        <w:t>门户网站、</w:t>
      </w:r>
      <w:r>
        <w:rPr>
          <w:rFonts w:hint="eastAsia" w:ascii="仿宋" w:hAnsi="仿宋" w:eastAsia="仿宋"/>
          <w:snapToGrid w:val="0"/>
          <w:kern w:val="0"/>
          <w:sz w:val="32"/>
          <w:szCs w:val="32"/>
          <w:shd w:val="clear" w:color="auto" w:fill="FFFFFF"/>
        </w:rPr>
        <w:t>三亚晨报、南岛晚报等</w:t>
      </w:r>
      <w:r>
        <w:rPr>
          <w:rFonts w:ascii="仿宋" w:hAnsi="仿宋" w:eastAsia="仿宋"/>
          <w:snapToGrid w:val="0"/>
          <w:kern w:val="0"/>
          <w:sz w:val="32"/>
          <w:szCs w:val="32"/>
          <w:shd w:val="clear" w:color="auto" w:fill="FFFFFF"/>
        </w:rPr>
        <w:t>新闻媒体多种有效方式，针对社会广泛关注的“十二五”各专项规划、</w:t>
      </w:r>
      <w:r>
        <w:rPr>
          <w:rStyle w:val="8"/>
          <w:rFonts w:hint="eastAsia" w:ascii="仿宋" w:hAnsi="仿宋" w:eastAsia="仿宋"/>
          <w:color w:val="000000"/>
          <w:sz w:val="32"/>
          <w:szCs w:val="32"/>
          <w:shd w:val="clear" w:color="auto" w:fill="FFFFFF"/>
        </w:rPr>
        <w:t>开展群众路线教育实践活动情况、</w:t>
      </w:r>
      <w:r>
        <w:rPr>
          <w:rFonts w:hint="eastAsia" w:ascii="仿宋" w:hAnsi="仿宋" w:eastAsia="仿宋"/>
          <w:snapToGrid w:val="0"/>
          <w:kern w:val="0"/>
          <w:sz w:val="32"/>
          <w:szCs w:val="32"/>
          <w:shd w:val="clear" w:color="auto" w:fill="FFFFFF"/>
        </w:rPr>
        <w:t>省市</w:t>
      </w:r>
      <w:r>
        <w:rPr>
          <w:rFonts w:ascii="仿宋" w:hAnsi="仿宋" w:eastAsia="仿宋"/>
          <w:snapToGrid w:val="0"/>
          <w:kern w:val="0"/>
          <w:sz w:val="32"/>
          <w:szCs w:val="32"/>
          <w:shd w:val="clear" w:color="auto" w:fill="FFFFFF"/>
        </w:rPr>
        <w:t>重</w:t>
      </w:r>
      <w:r>
        <w:rPr>
          <w:rFonts w:hint="eastAsia" w:ascii="仿宋" w:hAnsi="仿宋" w:eastAsia="仿宋"/>
          <w:snapToGrid w:val="0"/>
          <w:kern w:val="0"/>
          <w:sz w:val="32"/>
          <w:szCs w:val="32"/>
        </w:rPr>
        <w:t>点</w:t>
      </w:r>
      <w:r>
        <w:rPr>
          <w:rFonts w:ascii="仿宋" w:hAnsi="仿宋" w:eastAsia="仿宋"/>
          <w:snapToGrid w:val="0"/>
          <w:kern w:val="0"/>
          <w:sz w:val="32"/>
          <w:szCs w:val="32"/>
        </w:rPr>
        <w:t>项目</w:t>
      </w:r>
      <w:r>
        <w:rPr>
          <w:rFonts w:hint="eastAsia" w:ascii="仿宋" w:hAnsi="仿宋" w:eastAsia="仿宋"/>
          <w:snapToGrid w:val="0"/>
          <w:kern w:val="0"/>
          <w:sz w:val="32"/>
          <w:szCs w:val="32"/>
        </w:rPr>
        <w:t>投资</w:t>
      </w:r>
      <w:r>
        <w:rPr>
          <w:rFonts w:ascii="仿宋" w:hAnsi="仿宋" w:eastAsia="仿宋"/>
          <w:snapToGrid w:val="0"/>
          <w:kern w:val="0"/>
          <w:sz w:val="32"/>
          <w:szCs w:val="32"/>
        </w:rPr>
        <w:t>进展情况、中央资金安排、医药卫生体制改革、</w:t>
      </w:r>
      <w:r>
        <w:rPr>
          <w:rFonts w:hint="eastAsia" w:ascii="仿宋" w:hAnsi="仿宋" w:eastAsia="仿宋"/>
          <w:bCs/>
          <w:color w:val="000000"/>
          <w:sz w:val="32"/>
          <w:szCs w:val="32"/>
        </w:rPr>
        <w:t>项目招标投标管理</w:t>
      </w:r>
      <w:r>
        <w:rPr>
          <w:rFonts w:hint="eastAsia" w:ascii="仿宋" w:hAnsi="仿宋" w:eastAsia="仿宋"/>
          <w:bCs/>
          <w:sz w:val="32"/>
        </w:rPr>
        <w:t>、</w:t>
      </w:r>
      <w:r>
        <w:rPr>
          <w:rFonts w:ascii="仿宋" w:hAnsi="仿宋" w:eastAsia="仿宋"/>
          <w:snapToGrid w:val="0"/>
          <w:kern w:val="0"/>
          <w:sz w:val="32"/>
          <w:szCs w:val="32"/>
        </w:rPr>
        <w:t>社会民生保障等热点焦点问题，及时、主动、全面地向社会公开了我委行政审批事项、投资计划、工作动态等各类政府信息，着力营造良好的社会发展舆论。</w:t>
      </w:r>
      <w:r>
        <w:rPr>
          <w:rFonts w:hint="eastAsia" w:ascii="仿宋" w:hAnsi="仿宋" w:eastAsia="仿宋"/>
          <w:snapToGrid w:val="0"/>
          <w:kern w:val="0"/>
          <w:sz w:val="32"/>
          <w:szCs w:val="32"/>
        </w:rPr>
        <w:t>截止2014年12月，我委在三亚市政府门户网站政府信息公开平台主动公开政府信息累计1184篇，其中机构职能、领导介绍、直属单位、内设机构等信息5篇，计划规划35篇，法规公文109篇，主要工作278篇，人事信息39篇，国民经济和社会发展统计96篇，财政信息11篇(包括：《三亚市发展和改革委员会2013年部门决算》、《三亚市发展和改革委员会2014年</w:t>
      </w:r>
      <w:r>
        <w:rPr>
          <w:rFonts w:ascii="仿宋" w:hAnsi="仿宋" w:eastAsia="仿宋"/>
          <w:snapToGrid w:val="0"/>
          <w:kern w:val="0"/>
          <w:sz w:val="32"/>
          <w:szCs w:val="32"/>
        </w:rPr>
        <w:t>”</w:t>
      </w:r>
      <w:r>
        <w:rPr>
          <w:rFonts w:hint="eastAsia" w:ascii="仿宋" w:hAnsi="仿宋" w:eastAsia="仿宋"/>
          <w:snapToGrid w:val="0"/>
          <w:kern w:val="0"/>
          <w:sz w:val="32"/>
          <w:szCs w:val="32"/>
        </w:rPr>
        <w:t>三公</w:t>
      </w:r>
      <w:r>
        <w:rPr>
          <w:rFonts w:ascii="仿宋" w:hAnsi="仿宋" w:eastAsia="仿宋"/>
          <w:snapToGrid w:val="0"/>
          <w:kern w:val="0"/>
          <w:sz w:val="32"/>
          <w:szCs w:val="32"/>
        </w:rPr>
        <w:t>”</w:t>
      </w:r>
      <w:r>
        <w:rPr>
          <w:rFonts w:hint="eastAsia" w:ascii="仿宋" w:hAnsi="仿宋" w:eastAsia="仿宋"/>
          <w:snapToGrid w:val="0"/>
          <w:kern w:val="0"/>
          <w:sz w:val="32"/>
          <w:szCs w:val="32"/>
        </w:rPr>
        <w:t>经费预算安排情况统计表》、《三亚市粮食局2013年部门决算》、《2014年三亚市粮食局“三公”经费预算安排情况统计表》在市政府信息公开专栏上公开我委及下属部门“三公”经费预算决算情况)，重大项目建设139篇，民生建设61篇，监督检查71篇，社会公益1篇，行政许可22篇，应急管理1篇，土地利用5篇，办事指南51篇，城乡建设管理235篇，其他25篇。2014年1-12月，我委在三亚市政府门户网站信息公开专栏上主动公开政府信息累计233篇。2014年1-12月</w:t>
      </w:r>
      <w:r>
        <w:rPr>
          <w:rFonts w:ascii="仿宋" w:hAnsi="仿宋" w:eastAsia="仿宋"/>
          <w:snapToGrid w:val="0"/>
          <w:kern w:val="0"/>
          <w:sz w:val="32"/>
          <w:szCs w:val="32"/>
        </w:rPr>
        <w:t>通过</w:t>
      </w:r>
      <w:r>
        <w:rPr>
          <w:rFonts w:hint="eastAsia" w:ascii="仿宋" w:hAnsi="仿宋" w:eastAsia="仿宋"/>
          <w:snapToGrid w:val="0"/>
          <w:kern w:val="0"/>
          <w:sz w:val="32"/>
          <w:szCs w:val="32"/>
        </w:rPr>
        <w:t>三亚市政府政务中心发布行政审批信息，累计613篇，其中发布批复政府投资</w:t>
      </w:r>
      <w:r>
        <w:rPr>
          <w:rFonts w:ascii="仿宋" w:hAnsi="仿宋" w:eastAsia="仿宋"/>
          <w:snapToGrid w:val="0"/>
          <w:kern w:val="0"/>
          <w:sz w:val="32"/>
          <w:szCs w:val="32"/>
        </w:rPr>
        <w:t>项目</w:t>
      </w:r>
      <w:r>
        <w:rPr>
          <w:rFonts w:hint="eastAsia" w:ascii="仿宋" w:hAnsi="仿宋" w:eastAsia="仿宋"/>
          <w:snapToGrid w:val="0"/>
          <w:kern w:val="0"/>
          <w:sz w:val="32"/>
          <w:szCs w:val="32"/>
        </w:rPr>
        <w:t>建议书信息299篇，发布项目可行性研究报告信息45篇，发布初步设计及概算审批信息68篇，发布项目备案信息104篇，</w:t>
      </w:r>
      <w:r>
        <w:rPr>
          <w:rFonts w:ascii="仿宋" w:hAnsi="仿宋" w:eastAsia="仿宋"/>
          <w:snapToGrid w:val="0"/>
          <w:kern w:val="0"/>
          <w:sz w:val="32"/>
          <w:szCs w:val="32"/>
        </w:rPr>
        <w:t>招投标</w:t>
      </w:r>
      <w:r>
        <w:rPr>
          <w:rFonts w:hint="eastAsia" w:ascii="仿宋" w:hAnsi="仿宋" w:eastAsia="仿宋"/>
          <w:snapToGrid w:val="0"/>
          <w:kern w:val="0"/>
          <w:sz w:val="32"/>
          <w:szCs w:val="32"/>
        </w:rPr>
        <w:t>事项核准(备案)</w:t>
      </w:r>
      <w:r>
        <w:rPr>
          <w:rFonts w:ascii="仿宋" w:hAnsi="仿宋" w:eastAsia="仿宋"/>
          <w:snapToGrid w:val="0"/>
          <w:kern w:val="0"/>
          <w:sz w:val="32"/>
          <w:szCs w:val="32"/>
        </w:rPr>
        <w:t>信息</w:t>
      </w:r>
      <w:r>
        <w:rPr>
          <w:rFonts w:hint="eastAsia" w:ascii="仿宋" w:hAnsi="仿宋" w:eastAsia="仿宋"/>
          <w:snapToGrid w:val="0"/>
          <w:kern w:val="0"/>
          <w:sz w:val="32"/>
          <w:szCs w:val="32"/>
        </w:rPr>
        <w:t>176篇。</w:t>
      </w:r>
      <w:r>
        <w:rPr>
          <w:rFonts w:ascii="仿宋" w:hAnsi="仿宋" w:eastAsia="仿宋"/>
          <w:snapToGrid w:val="0"/>
          <w:kern w:val="0"/>
          <w:sz w:val="32"/>
          <w:szCs w:val="32"/>
          <w:shd w:val="clear" w:color="auto" w:fill="FFFFFF"/>
        </w:rPr>
        <w:t>及时、主动、全面</w:t>
      </w:r>
      <w:r>
        <w:rPr>
          <w:rFonts w:hint="eastAsia" w:ascii="仿宋" w:hAnsi="仿宋" w:eastAsia="仿宋"/>
          <w:snapToGrid w:val="0"/>
          <w:kern w:val="0"/>
          <w:sz w:val="32"/>
          <w:szCs w:val="32"/>
          <w:shd w:val="clear" w:color="auto" w:fill="FFFFFF"/>
        </w:rPr>
        <w:t>、准确</w:t>
      </w:r>
      <w:r>
        <w:rPr>
          <w:rFonts w:ascii="仿宋" w:hAnsi="仿宋" w:eastAsia="仿宋"/>
          <w:snapToGrid w:val="0"/>
          <w:kern w:val="0"/>
          <w:sz w:val="32"/>
          <w:szCs w:val="32"/>
          <w:shd w:val="clear" w:color="auto" w:fill="FFFFFF"/>
        </w:rPr>
        <w:t>地向社会</w:t>
      </w:r>
      <w:r>
        <w:rPr>
          <w:rFonts w:hint="eastAsia" w:ascii="仿宋" w:hAnsi="仿宋" w:eastAsia="仿宋"/>
          <w:snapToGrid w:val="0"/>
          <w:kern w:val="0"/>
          <w:sz w:val="32"/>
          <w:szCs w:val="32"/>
          <w:shd w:val="clear" w:color="auto" w:fill="FFFFFF"/>
        </w:rPr>
        <w:t>公众发布了</w:t>
      </w:r>
      <w:r>
        <w:rPr>
          <w:rFonts w:ascii="仿宋" w:hAnsi="仿宋" w:eastAsia="仿宋"/>
          <w:snapToGrid w:val="0"/>
          <w:kern w:val="0"/>
          <w:sz w:val="32"/>
          <w:szCs w:val="32"/>
          <w:shd w:val="clear" w:color="auto" w:fill="FFFFFF"/>
        </w:rPr>
        <w:t>我委</w:t>
      </w:r>
      <w:r>
        <w:rPr>
          <w:rFonts w:hint="eastAsia" w:ascii="仿宋" w:hAnsi="仿宋" w:eastAsia="仿宋"/>
          <w:snapToGrid w:val="0"/>
          <w:kern w:val="0"/>
          <w:sz w:val="32"/>
          <w:szCs w:val="32"/>
          <w:shd w:val="clear" w:color="auto" w:fill="FFFFFF"/>
        </w:rPr>
        <w:t>权威的</w:t>
      </w:r>
      <w:r>
        <w:rPr>
          <w:rFonts w:ascii="仿宋" w:hAnsi="仿宋" w:eastAsia="仿宋"/>
          <w:snapToGrid w:val="0"/>
          <w:kern w:val="0"/>
          <w:sz w:val="32"/>
          <w:szCs w:val="32"/>
          <w:shd w:val="clear" w:color="auto" w:fill="FFFFFF"/>
        </w:rPr>
        <w:t>政府信息，</w:t>
      </w:r>
      <w:r>
        <w:rPr>
          <w:rFonts w:hint="eastAsia" w:ascii="仿宋" w:hAnsi="仿宋" w:eastAsia="仿宋"/>
          <w:snapToGrid w:val="0"/>
          <w:kern w:val="0"/>
          <w:sz w:val="32"/>
          <w:szCs w:val="32"/>
          <w:shd w:val="clear" w:color="auto" w:fill="FFFFFF"/>
        </w:rPr>
        <w:t>至今</w:t>
      </w:r>
      <w:r>
        <w:rPr>
          <w:rFonts w:hint="eastAsia" w:ascii="仿宋" w:hAnsi="仿宋" w:eastAsia="仿宋"/>
          <w:snapToGrid w:val="0"/>
          <w:color w:val="333333"/>
          <w:kern w:val="0"/>
          <w:sz w:val="32"/>
          <w:szCs w:val="32"/>
          <w:shd w:val="clear" w:color="auto" w:fill="FFFFFF"/>
        </w:rPr>
        <w:t>从未出现影响或者可能影响社会稳定、扰乱社会管理秩序的虚假或者不完整的信息。</w:t>
      </w:r>
    </w:p>
    <w:p>
      <w:pPr>
        <w:ind w:firstLine="640" w:firstLineChars="200"/>
        <w:rPr>
          <w:rFonts w:ascii="黑体" w:hAnsi="黑体" w:eastAsia="黑体"/>
          <w:snapToGrid w:val="0"/>
          <w:kern w:val="0"/>
          <w:sz w:val="32"/>
          <w:szCs w:val="32"/>
          <w:shd w:val="clear" w:color="auto" w:fill="FFFFFF"/>
        </w:rPr>
      </w:pPr>
      <w:r>
        <w:rPr>
          <w:rFonts w:ascii="黑体" w:hAnsi="黑体" w:eastAsia="黑体"/>
          <w:snapToGrid w:val="0"/>
          <w:kern w:val="0"/>
          <w:sz w:val="32"/>
          <w:szCs w:val="32"/>
          <w:shd w:val="clear" w:color="auto" w:fill="FFFFFF"/>
        </w:rPr>
        <w:t>二</w:t>
      </w:r>
      <w:r>
        <w:rPr>
          <w:rFonts w:hint="eastAsia" w:ascii="黑体" w:hAnsi="黑体" w:eastAsia="黑体"/>
          <w:snapToGrid w:val="0"/>
          <w:kern w:val="0"/>
          <w:sz w:val="32"/>
          <w:szCs w:val="32"/>
          <w:shd w:val="clear" w:color="auto" w:fill="FFFFFF"/>
        </w:rPr>
        <w:t>、</w:t>
      </w:r>
      <w:r>
        <w:rPr>
          <w:rFonts w:ascii="黑体" w:hAnsi="黑体" w:eastAsia="黑体"/>
          <w:snapToGrid w:val="0"/>
          <w:kern w:val="0"/>
          <w:sz w:val="32"/>
          <w:szCs w:val="32"/>
          <w:shd w:val="clear" w:color="auto" w:fill="FFFFFF"/>
        </w:rPr>
        <w:t>政府信息依申请公开情况</w:t>
      </w:r>
    </w:p>
    <w:p>
      <w:pPr>
        <w:ind w:firstLine="640" w:firstLineChars="200"/>
        <w:rPr>
          <w:rFonts w:ascii="仿宋" w:hAnsi="仿宋" w:eastAsia="仿宋"/>
          <w:snapToGrid w:val="0"/>
          <w:kern w:val="0"/>
          <w:sz w:val="32"/>
          <w:szCs w:val="32"/>
          <w:shd w:val="clear" w:color="auto" w:fill="FFFFFF"/>
        </w:rPr>
      </w:pPr>
      <w:r>
        <w:rPr>
          <w:rFonts w:ascii="仿宋" w:hAnsi="仿宋" w:eastAsia="仿宋"/>
          <w:snapToGrid w:val="0"/>
          <w:kern w:val="0"/>
          <w:sz w:val="32"/>
          <w:szCs w:val="32"/>
          <w:shd w:val="clear" w:color="auto" w:fill="FFFFFF"/>
        </w:rPr>
        <w:t>201</w:t>
      </w:r>
      <w:r>
        <w:rPr>
          <w:rFonts w:hint="eastAsia" w:ascii="仿宋" w:hAnsi="仿宋" w:eastAsia="仿宋"/>
          <w:snapToGrid w:val="0"/>
          <w:kern w:val="0"/>
          <w:sz w:val="32"/>
          <w:szCs w:val="32"/>
          <w:shd w:val="clear" w:color="auto" w:fill="FFFFFF"/>
        </w:rPr>
        <w:t>4</w:t>
      </w:r>
      <w:r>
        <w:rPr>
          <w:rFonts w:ascii="仿宋" w:hAnsi="仿宋" w:eastAsia="仿宋"/>
          <w:snapToGrid w:val="0"/>
          <w:kern w:val="0"/>
          <w:sz w:val="32"/>
          <w:szCs w:val="32"/>
          <w:shd w:val="clear" w:color="auto" w:fill="FFFFFF"/>
        </w:rPr>
        <w:t>年我委</w:t>
      </w:r>
      <w:r>
        <w:rPr>
          <w:rFonts w:hint="eastAsia" w:ascii="仿宋" w:hAnsi="仿宋" w:eastAsia="仿宋"/>
          <w:snapToGrid w:val="0"/>
          <w:kern w:val="0"/>
          <w:sz w:val="32"/>
          <w:szCs w:val="32"/>
          <w:shd w:val="clear" w:color="auto" w:fill="FFFFFF"/>
        </w:rPr>
        <w:t>共</w:t>
      </w:r>
      <w:r>
        <w:rPr>
          <w:rFonts w:ascii="仿宋" w:hAnsi="仿宋" w:eastAsia="仿宋"/>
          <w:snapToGrid w:val="0"/>
          <w:kern w:val="0"/>
          <w:sz w:val="32"/>
          <w:szCs w:val="32"/>
          <w:shd w:val="clear" w:color="auto" w:fill="FFFFFF"/>
        </w:rPr>
        <w:t>受理</w:t>
      </w:r>
      <w:r>
        <w:rPr>
          <w:rFonts w:hint="eastAsia" w:ascii="仿宋" w:hAnsi="仿宋" w:eastAsia="仿宋"/>
          <w:snapToGrid w:val="0"/>
          <w:kern w:val="0"/>
          <w:sz w:val="32"/>
          <w:szCs w:val="32"/>
          <w:shd w:val="clear" w:color="auto" w:fill="FFFFFF"/>
        </w:rPr>
        <w:t>过</w:t>
      </w:r>
      <w:r>
        <w:rPr>
          <w:rFonts w:ascii="仿宋" w:hAnsi="仿宋" w:eastAsia="仿宋"/>
          <w:snapToGrid w:val="0"/>
          <w:kern w:val="0"/>
          <w:sz w:val="32"/>
          <w:szCs w:val="32"/>
          <w:shd w:val="clear" w:color="auto" w:fill="FFFFFF"/>
        </w:rPr>
        <w:t>政府信息依申请公开</w:t>
      </w:r>
      <w:r>
        <w:rPr>
          <w:rFonts w:hint="eastAsia" w:ascii="仿宋" w:hAnsi="仿宋" w:eastAsia="仿宋"/>
          <w:snapToGrid w:val="0"/>
          <w:kern w:val="0"/>
          <w:sz w:val="32"/>
          <w:szCs w:val="32"/>
          <w:shd w:val="clear" w:color="auto" w:fill="FFFFFF"/>
        </w:rPr>
        <w:t>3起，均答复完毕</w:t>
      </w:r>
      <w:r>
        <w:rPr>
          <w:rFonts w:ascii="仿宋" w:hAnsi="仿宋" w:eastAsia="仿宋"/>
          <w:snapToGrid w:val="0"/>
          <w:kern w:val="0"/>
          <w:sz w:val="32"/>
          <w:szCs w:val="32"/>
          <w:shd w:val="clear" w:color="auto" w:fill="FFFFFF"/>
        </w:rPr>
        <w:t>。</w:t>
      </w:r>
    </w:p>
    <w:p>
      <w:pPr>
        <w:ind w:firstLine="640" w:firstLineChars="200"/>
        <w:rPr>
          <w:rFonts w:ascii="黑体" w:hAnsi="黑体" w:eastAsia="黑体"/>
          <w:snapToGrid w:val="0"/>
          <w:kern w:val="0"/>
          <w:sz w:val="32"/>
          <w:szCs w:val="32"/>
          <w:shd w:val="clear" w:color="auto" w:fill="FFFFFF"/>
        </w:rPr>
      </w:pPr>
      <w:r>
        <w:rPr>
          <w:rFonts w:ascii="黑体" w:hAnsi="黑体" w:eastAsia="黑体"/>
          <w:snapToGrid w:val="0"/>
          <w:kern w:val="0"/>
          <w:sz w:val="32"/>
          <w:szCs w:val="32"/>
          <w:shd w:val="clear" w:color="auto" w:fill="FFFFFF"/>
        </w:rPr>
        <w:t>三</w:t>
      </w:r>
      <w:r>
        <w:rPr>
          <w:rFonts w:hint="eastAsia" w:ascii="黑体" w:hAnsi="黑体" w:eastAsia="黑体"/>
          <w:snapToGrid w:val="0"/>
          <w:kern w:val="0"/>
          <w:sz w:val="32"/>
          <w:szCs w:val="32"/>
          <w:shd w:val="clear" w:color="auto" w:fill="FFFFFF"/>
        </w:rPr>
        <w:t>、</w:t>
      </w:r>
      <w:r>
        <w:rPr>
          <w:rFonts w:ascii="黑体" w:hAnsi="黑体" w:eastAsia="黑体"/>
          <w:snapToGrid w:val="0"/>
          <w:kern w:val="0"/>
          <w:sz w:val="32"/>
          <w:szCs w:val="32"/>
          <w:shd w:val="clear" w:color="auto" w:fill="FFFFFF"/>
        </w:rPr>
        <w:t>政府信息公开收费及减免情况</w:t>
      </w:r>
    </w:p>
    <w:p>
      <w:pPr>
        <w:ind w:firstLine="640" w:firstLineChars="200"/>
        <w:rPr>
          <w:rFonts w:ascii="仿宋" w:hAnsi="仿宋" w:eastAsia="仿宋"/>
          <w:snapToGrid w:val="0"/>
          <w:kern w:val="0"/>
          <w:sz w:val="32"/>
          <w:szCs w:val="32"/>
          <w:shd w:val="clear" w:color="auto" w:fill="FFFFFF"/>
        </w:rPr>
      </w:pPr>
      <w:r>
        <w:rPr>
          <w:rFonts w:ascii="仿宋" w:hAnsi="仿宋" w:eastAsia="仿宋"/>
          <w:snapToGrid w:val="0"/>
          <w:kern w:val="0"/>
          <w:sz w:val="32"/>
          <w:szCs w:val="32"/>
          <w:shd w:val="clear" w:color="auto" w:fill="FFFFFF"/>
        </w:rPr>
        <w:t>201</w:t>
      </w:r>
      <w:r>
        <w:rPr>
          <w:rFonts w:hint="eastAsia" w:ascii="仿宋" w:hAnsi="仿宋" w:eastAsia="仿宋"/>
          <w:snapToGrid w:val="0"/>
          <w:kern w:val="0"/>
          <w:sz w:val="32"/>
          <w:szCs w:val="32"/>
          <w:shd w:val="clear" w:color="auto" w:fill="FFFFFF"/>
        </w:rPr>
        <w:t>4</w:t>
      </w:r>
      <w:r>
        <w:rPr>
          <w:rFonts w:ascii="仿宋" w:hAnsi="仿宋" w:eastAsia="仿宋"/>
          <w:snapToGrid w:val="0"/>
          <w:kern w:val="0"/>
          <w:sz w:val="32"/>
          <w:szCs w:val="32"/>
          <w:shd w:val="clear" w:color="auto" w:fill="FFFFFF"/>
        </w:rPr>
        <w:t>年我委没有收取政府信息公开相关费用。</w:t>
      </w:r>
    </w:p>
    <w:p>
      <w:pPr>
        <w:ind w:firstLine="640" w:firstLineChars="200"/>
        <w:rPr>
          <w:rFonts w:ascii="黑体" w:hAnsi="黑体" w:eastAsia="黑体"/>
          <w:snapToGrid w:val="0"/>
          <w:kern w:val="0"/>
          <w:sz w:val="32"/>
          <w:szCs w:val="32"/>
          <w:shd w:val="clear" w:color="auto" w:fill="FFFFFF"/>
        </w:rPr>
      </w:pPr>
      <w:r>
        <w:rPr>
          <w:rFonts w:ascii="黑体" w:hAnsi="黑体" w:eastAsia="黑体"/>
          <w:snapToGrid w:val="0"/>
          <w:kern w:val="0"/>
          <w:sz w:val="32"/>
          <w:szCs w:val="32"/>
          <w:shd w:val="clear" w:color="auto" w:fill="FFFFFF"/>
        </w:rPr>
        <w:t>四</w:t>
      </w:r>
      <w:r>
        <w:rPr>
          <w:rFonts w:hint="eastAsia" w:ascii="黑体" w:hAnsi="黑体" w:eastAsia="黑体"/>
          <w:snapToGrid w:val="0"/>
          <w:kern w:val="0"/>
          <w:sz w:val="32"/>
          <w:szCs w:val="32"/>
          <w:shd w:val="clear" w:color="auto" w:fill="FFFFFF"/>
        </w:rPr>
        <w:t>、</w:t>
      </w:r>
      <w:r>
        <w:rPr>
          <w:rFonts w:ascii="黑体" w:hAnsi="黑体" w:eastAsia="黑体"/>
          <w:snapToGrid w:val="0"/>
          <w:kern w:val="0"/>
          <w:sz w:val="32"/>
          <w:szCs w:val="32"/>
          <w:shd w:val="clear" w:color="auto" w:fill="FFFFFF"/>
        </w:rPr>
        <w:t>行政复议、行政诉讼情况</w:t>
      </w:r>
    </w:p>
    <w:p>
      <w:pPr>
        <w:ind w:firstLine="640" w:firstLineChars="200"/>
        <w:rPr>
          <w:rFonts w:hint="eastAsia" w:ascii="仿宋" w:hAnsi="仿宋" w:eastAsia="仿宋" w:cs="Arial"/>
          <w:snapToGrid w:val="0"/>
          <w:kern w:val="0"/>
          <w:sz w:val="32"/>
          <w:szCs w:val="32"/>
        </w:rPr>
      </w:pPr>
      <w:r>
        <w:rPr>
          <w:rFonts w:hint="eastAsia" w:ascii="仿宋" w:hAnsi="仿宋" w:eastAsia="仿宋" w:cs="Arial"/>
          <w:snapToGrid w:val="0"/>
          <w:kern w:val="0"/>
          <w:sz w:val="32"/>
          <w:szCs w:val="32"/>
        </w:rPr>
        <w:t>截至2014年12月，我委因政府信息公开行为而引起的行政复议案件3起，其中一起申请人自行撤销行政复议；另外两起经上级复议机关调查了解申请人与申请行政复议事项无利害关系，根据《中华人民共和国行政复议法实施条例》第四十八条第一款第（二）项规定的情形，复议机关驳回申请人的行政复议申请。全年无行政诉讼案件发生。</w:t>
      </w:r>
    </w:p>
    <w:p>
      <w:pPr>
        <w:ind w:firstLine="643" w:firstLineChars="200"/>
        <w:rPr>
          <w:rFonts w:ascii="黑体" w:hAnsi="黑体" w:eastAsia="黑体"/>
          <w:b/>
          <w:snapToGrid w:val="0"/>
          <w:kern w:val="0"/>
          <w:sz w:val="32"/>
          <w:szCs w:val="32"/>
          <w:shd w:val="clear" w:color="auto" w:fill="FFFFFF"/>
        </w:rPr>
      </w:pPr>
      <w:r>
        <w:rPr>
          <w:rFonts w:ascii="黑体" w:hAnsi="黑体" w:eastAsia="黑体"/>
          <w:b/>
          <w:snapToGrid w:val="0"/>
          <w:kern w:val="0"/>
          <w:sz w:val="32"/>
          <w:szCs w:val="32"/>
          <w:shd w:val="clear" w:color="auto" w:fill="FFFFFF"/>
        </w:rPr>
        <w:t>五</w:t>
      </w:r>
      <w:r>
        <w:rPr>
          <w:rFonts w:hint="eastAsia" w:ascii="黑体" w:hAnsi="黑体" w:eastAsia="黑体"/>
          <w:b/>
          <w:snapToGrid w:val="0"/>
          <w:kern w:val="0"/>
          <w:sz w:val="32"/>
          <w:szCs w:val="32"/>
          <w:shd w:val="clear" w:color="auto" w:fill="FFFFFF"/>
        </w:rPr>
        <w:t>、</w:t>
      </w:r>
      <w:r>
        <w:rPr>
          <w:rFonts w:ascii="黑体" w:hAnsi="黑体" w:eastAsia="黑体"/>
          <w:b/>
          <w:snapToGrid w:val="0"/>
          <w:kern w:val="0"/>
          <w:sz w:val="32"/>
          <w:szCs w:val="32"/>
          <w:shd w:val="clear" w:color="auto" w:fill="FFFFFF"/>
        </w:rPr>
        <w:t>存在的问题及改进措施</w:t>
      </w:r>
    </w:p>
    <w:p>
      <w:pPr>
        <w:ind w:firstLine="640" w:firstLineChars="200"/>
        <w:rPr>
          <w:rFonts w:hint="eastAsia" w:ascii="仿宋" w:hAnsi="仿宋" w:eastAsia="仿宋"/>
          <w:snapToGrid w:val="0"/>
          <w:color w:val="333333"/>
          <w:kern w:val="0"/>
          <w:sz w:val="32"/>
          <w:szCs w:val="32"/>
          <w:shd w:val="clear" w:color="auto" w:fill="FFFFFF"/>
        </w:rPr>
      </w:pPr>
      <w:r>
        <w:rPr>
          <w:rFonts w:ascii="仿宋" w:hAnsi="仿宋" w:eastAsia="仿宋"/>
          <w:snapToGrid w:val="0"/>
          <w:kern w:val="0"/>
          <w:sz w:val="32"/>
          <w:szCs w:val="32"/>
          <w:shd w:val="clear" w:color="auto" w:fill="FFFFFF"/>
        </w:rPr>
        <w:t>我委高度重视政府信息公开工作，把政府信息公开作为</w:t>
      </w:r>
      <w:r>
        <w:rPr>
          <w:rFonts w:hint="eastAsia" w:ascii="仿宋" w:hAnsi="仿宋" w:eastAsia="仿宋"/>
          <w:snapToGrid w:val="0"/>
          <w:kern w:val="0"/>
          <w:sz w:val="32"/>
          <w:szCs w:val="32"/>
          <w:shd w:val="clear" w:color="auto" w:fill="FFFFFF"/>
        </w:rPr>
        <w:t>转作风、促成效，以推进依法行政</w:t>
      </w:r>
      <w:r>
        <w:rPr>
          <w:rFonts w:ascii="仿宋" w:hAnsi="仿宋" w:eastAsia="仿宋"/>
          <w:snapToGrid w:val="0"/>
          <w:kern w:val="0"/>
          <w:sz w:val="32"/>
          <w:szCs w:val="32"/>
          <w:shd w:val="clear" w:color="auto" w:fill="FFFFFF"/>
        </w:rPr>
        <w:t>、</w:t>
      </w:r>
      <w:r>
        <w:rPr>
          <w:rFonts w:hint="eastAsia" w:ascii="仿宋" w:hAnsi="仿宋" w:eastAsia="仿宋"/>
          <w:snapToGrid w:val="0"/>
          <w:kern w:val="0"/>
          <w:sz w:val="32"/>
          <w:szCs w:val="32"/>
          <w:shd w:val="clear" w:color="auto" w:fill="FFFFFF"/>
        </w:rPr>
        <w:t>打造阳光政府、提升政府公信力的</w:t>
      </w:r>
      <w:r>
        <w:rPr>
          <w:rFonts w:ascii="仿宋" w:hAnsi="仿宋" w:eastAsia="仿宋"/>
          <w:snapToGrid w:val="0"/>
          <w:kern w:val="0"/>
          <w:sz w:val="32"/>
          <w:szCs w:val="32"/>
          <w:shd w:val="clear" w:color="auto" w:fill="FFFFFF"/>
        </w:rPr>
        <w:t>政府</w:t>
      </w:r>
      <w:r>
        <w:rPr>
          <w:rFonts w:hint="eastAsia" w:ascii="仿宋" w:hAnsi="仿宋" w:eastAsia="仿宋"/>
          <w:snapToGrid w:val="0"/>
          <w:kern w:val="0"/>
          <w:sz w:val="32"/>
          <w:szCs w:val="32"/>
          <w:shd w:val="clear" w:color="auto" w:fill="FFFFFF"/>
        </w:rPr>
        <w:t>部门工作</w:t>
      </w:r>
      <w:r>
        <w:rPr>
          <w:rFonts w:ascii="仿宋" w:hAnsi="仿宋" w:eastAsia="仿宋"/>
          <w:snapToGrid w:val="0"/>
          <w:kern w:val="0"/>
          <w:sz w:val="32"/>
          <w:szCs w:val="32"/>
          <w:shd w:val="clear" w:color="auto" w:fill="FFFFFF"/>
        </w:rPr>
        <w:t>的重要内容。但</w:t>
      </w:r>
      <w:r>
        <w:rPr>
          <w:rFonts w:hint="eastAsia" w:ascii="仿宋" w:hAnsi="仿宋" w:eastAsia="仿宋"/>
          <w:snapToGrid w:val="0"/>
          <w:kern w:val="0"/>
          <w:sz w:val="32"/>
          <w:szCs w:val="32"/>
          <w:shd w:val="clear" w:color="auto" w:fill="FFFFFF"/>
        </w:rPr>
        <w:t>是，我委仍存在一些问题有待解决，具体表现为：一是</w:t>
      </w:r>
      <w:r>
        <w:rPr>
          <w:rFonts w:ascii="仿宋" w:hAnsi="仿宋" w:eastAsia="仿宋"/>
          <w:snapToGrid w:val="0"/>
          <w:kern w:val="0"/>
          <w:sz w:val="32"/>
          <w:szCs w:val="32"/>
          <w:shd w:val="clear" w:color="auto" w:fill="FFFFFF"/>
        </w:rPr>
        <w:t>由于政府信息公开工作涉及范围广、情况复杂、法律性强，个别公务人员对政府信息公开的意识还比较淡薄</w:t>
      </w:r>
      <w:r>
        <w:rPr>
          <w:rFonts w:hint="eastAsia" w:ascii="仿宋" w:hAnsi="仿宋" w:eastAsia="仿宋"/>
          <w:snapToGrid w:val="0"/>
          <w:kern w:val="0"/>
          <w:sz w:val="32"/>
          <w:szCs w:val="32"/>
          <w:shd w:val="clear" w:color="auto" w:fill="FFFFFF"/>
        </w:rPr>
        <w:t>。二是对</w:t>
      </w:r>
      <w:r>
        <w:rPr>
          <w:rFonts w:ascii="仿宋" w:hAnsi="仿宋" w:eastAsia="仿宋"/>
          <w:snapToGrid w:val="0"/>
          <w:kern w:val="0"/>
          <w:sz w:val="32"/>
          <w:szCs w:val="32"/>
          <w:shd w:val="clear" w:color="auto" w:fill="FFFFFF"/>
        </w:rPr>
        <w:t>利用诸如政务微博等新兴媒体的能力的</w:t>
      </w:r>
      <w:r>
        <w:rPr>
          <w:rFonts w:hint="eastAsia" w:ascii="仿宋" w:hAnsi="仿宋" w:eastAsia="仿宋"/>
          <w:snapToGrid w:val="0"/>
          <w:kern w:val="0"/>
          <w:sz w:val="32"/>
          <w:szCs w:val="32"/>
          <w:shd w:val="clear" w:color="auto" w:fill="FFFFFF"/>
        </w:rPr>
        <w:t>重视度</w:t>
      </w:r>
      <w:r>
        <w:rPr>
          <w:rFonts w:ascii="仿宋" w:hAnsi="仿宋" w:eastAsia="仿宋"/>
          <w:snapToGrid w:val="0"/>
          <w:kern w:val="0"/>
          <w:sz w:val="32"/>
          <w:szCs w:val="32"/>
          <w:shd w:val="clear" w:color="auto" w:fill="FFFFFF"/>
        </w:rPr>
        <w:t>和应对突发事件经验仍然不足</w:t>
      </w:r>
      <w:r>
        <w:rPr>
          <w:rFonts w:hint="eastAsia" w:ascii="仿宋" w:hAnsi="仿宋" w:eastAsia="仿宋"/>
          <w:snapToGrid w:val="0"/>
          <w:kern w:val="0"/>
          <w:sz w:val="32"/>
          <w:szCs w:val="32"/>
          <w:shd w:val="clear" w:color="auto" w:fill="FFFFFF"/>
        </w:rPr>
        <w:t>。三是政府信息公开方面的培训少。四是负责政府信息公开的人员一岗多职，没有设立专门的岗位负责此项工作。五是</w:t>
      </w:r>
      <w:r>
        <w:rPr>
          <w:rFonts w:hint="eastAsia" w:ascii="仿宋" w:hAnsi="仿宋" w:eastAsia="仿宋"/>
          <w:snapToGrid w:val="0"/>
          <w:color w:val="333333"/>
          <w:kern w:val="0"/>
          <w:sz w:val="32"/>
          <w:szCs w:val="32"/>
          <w:shd w:val="clear" w:color="auto" w:fill="FFFFFF"/>
        </w:rPr>
        <w:t>信息公开的工作制度有待进一步细化，信息公开的内容还不够全面和规范，信息公开的及时性有待进一步加强。</w:t>
      </w:r>
    </w:p>
    <w:p>
      <w:pPr>
        <w:ind w:firstLine="640" w:firstLineChars="200"/>
        <w:rPr>
          <w:rFonts w:hint="eastAsia" w:ascii="仿宋" w:hAnsi="仿宋" w:eastAsia="仿宋"/>
          <w:snapToGrid w:val="0"/>
          <w:kern w:val="0"/>
          <w:sz w:val="32"/>
          <w:szCs w:val="32"/>
          <w:shd w:val="clear" w:color="auto" w:fill="FFFFFF"/>
        </w:rPr>
      </w:pPr>
      <w:r>
        <w:rPr>
          <w:rFonts w:ascii="仿宋" w:hAnsi="仿宋" w:eastAsia="仿宋"/>
          <w:snapToGrid w:val="0"/>
          <w:kern w:val="0"/>
          <w:sz w:val="32"/>
          <w:szCs w:val="32"/>
          <w:shd w:val="clear" w:color="auto" w:fill="FFFFFF"/>
        </w:rPr>
        <w:t>我委目前</w:t>
      </w:r>
      <w:r>
        <w:rPr>
          <w:rFonts w:hint="eastAsia" w:ascii="仿宋" w:hAnsi="仿宋" w:eastAsia="仿宋"/>
          <w:snapToGrid w:val="0"/>
          <w:kern w:val="0"/>
          <w:sz w:val="32"/>
          <w:szCs w:val="32"/>
          <w:shd w:val="clear" w:color="auto" w:fill="FFFFFF"/>
        </w:rPr>
        <w:t>的</w:t>
      </w:r>
      <w:r>
        <w:rPr>
          <w:rFonts w:ascii="仿宋" w:hAnsi="仿宋" w:eastAsia="仿宋"/>
          <w:snapToGrid w:val="0"/>
          <w:kern w:val="0"/>
          <w:sz w:val="32"/>
          <w:szCs w:val="32"/>
          <w:shd w:val="clear" w:color="auto" w:fill="FFFFFF"/>
        </w:rPr>
        <w:t>政府信息公开工作离社会公众期待还有一定距离。下一步，我委</w:t>
      </w:r>
      <w:r>
        <w:rPr>
          <w:rFonts w:hint="eastAsia" w:ascii="仿宋" w:hAnsi="仿宋" w:eastAsia="仿宋"/>
          <w:snapToGrid w:val="0"/>
          <w:kern w:val="0"/>
          <w:sz w:val="32"/>
          <w:szCs w:val="32"/>
          <w:shd w:val="clear" w:color="auto" w:fill="FFFFFF"/>
        </w:rPr>
        <w:t>针</w:t>
      </w:r>
      <w:r>
        <w:rPr>
          <w:rFonts w:ascii="仿宋" w:hAnsi="仿宋" w:eastAsia="仿宋"/>
          <w:snapToGrid w:val="0"/>
          <w:kern w:val="0"/>
          <w:sz w:val="32"/>
          <w:szCs w:val="32"/>
          <w:shd w:val="clear" w:color="auto" w:fill="FFFFFF"/>
        </w:rPr>
        <w:t>对本部门</w:t>
      </w:r>
      <w:r>
        <w:rPr>
          <w:rFonts w:hint="eastAsia" w:ascii="仿宋" w:hAnsi="仿宋" w:eastAsia="仿宋"/>
          <w:snapToGrid w:val="0"/>
          <w:kern w:val="0"/>
          <w:sz w:val="32"/>
          <w:szCs w:val="32"/>
          <w:shd w:val="clear" w:color="auto" w:fill="FFFFFF"/>
        </w:rPr>
        <w:t>存在的问题，进行以下改进：一是加大培训力度，</w:t>
      </w:r>
      <w:r>
        <w:rPr>
          <w:rFonts w:ascii="仿宋" w:hAnsi="仿宋" w:eastAsia="仿宋"/>
          <w:snapToGrid w:val="0"/>
          <w:kern w:val="0"/>
          <w:sz w:val="32"/>
          <w:szCs w:val="32"/>
          <w:shd w:val="clear" w:color="auto" w:fill="FFFFFF"/>
        </w:rPr>
        <w:t>进一步提高全体干部职工的思想认识，强化依法行政和信息公开的意识，</w:t>
      </w:r>
      <w:r>
        <w:rPr>
          <w:rFonts w:hint="eastAsia" w:ascii="仿宋" w:hAnsi="仿宋" w:eastAsia="仿宋"/>
          <w:snapToGrid w:val="0"/>
          <w:kern w:val="0"/>
          <w:sz w:val="32"/>
          <w:szCs w:val="32"/>
          <w:shd w:val="clear" w:color="auto" w:fill="FFFFFF"/>
        </w:rPr>
        <w:t>加</w:t>
      </w:r>
      <w:r>
        <w:rPr>
          <w:rFonts w:ascii="仿宋" w:hAnsi="仿宋" w:eastAsia="仿宋"/>
          <w:snapToGrid w:val="0"/>
          <w:kern w:val="0"/>
          <w:sz w:val="32"/>
          <w:szCs w:val="32"/>
          <w:shd w:val="clear" w:color="auto" w:fill="FFFFFF"/>
        </w:rPr>
        <w:t>强做好政府信息公开工作的主动性和自觉性</w:t>
      </w:r>
      <w:r>
        <w:rPr>
          <w:rFonts w:hint="eastAsia" w:ascii="仿宋" w:hAnsi="仿宋" w:eastAsia="仿宋"/>
          <w:snapToGrid w:val="0"/>
          <w:kern w:val="0"/>
          <w:sz w:val="32"/>
          <w:szCs w:val="32"/>
          <w:shd w:val="clear" w:color="auto" w:fill="FFFFFF"/>
        </w:rPr>
        <w:t>，将培训工作建立成常态化机制，不断提高我委</w:t>
      </w:r>
      <w:r>
        <w:rPr>
          <w:rFonts w:ascii="仿宋" w:hAnsi="仿宋" w:eastAsia="仿宋"/>
          <w:snapToGrid w:val="0"/>
          <w:kern w:val="0"/>
          <w:sz w:val="32"/>
          <w:szCs w:val="32"/>
          <w:shd w:val="clear" w:color="auto" w:fill="FFFFFF"/>
        </w:rPr>
        <w:t>工作人员的</w:t>
      </w:r>
      <w:r>
        <w:rPr>
          <w:rFonts w:hint="eastAsia" w:ascii="仿宋" w:hAnsi="仿宋" w:eastAsia="仿宋"/>
          <w:snapToGrid w:val="0"/>
          <w:kern w:val="0"/>
          <w:sz w:val="32"/>
          <w:szCs w:val="32"/>
          <w:shd w:val="clear" w:color="auto" w:fill="FFFFFF"/>
        </w:rPr>
        <w:t>政府信息公开工作的能力；二是加强平台和渠道建设，搭建移动服务平台，开发“信息公开专栏”客户端，提供更人性化的政务信息延伸服务。重视利用政务微博、微信等新媒体应对网络突发事件和重要政务舆情收集、研判、处置和回应机制建设；三是</w:t>
      </w:r>
      <w:r>
        <w:rPr>
          <w:rFonts w:hint="eastAsia" w:ascii="仿宋" w:hAnsi="仿宋" w:eastAsia="仿宋"/>
          <w:snapToGrid w:val="0"/>
          <w:color w:val="333333"/>
          <w:kern w:val="0"/>
          <w:sz w:val="32"/>
          <w:szCs w:val="32"/>
          <w:shd w:val="clear" w:color="auto" w:fill="FFFFFF"/>
        </w:rPr>
        <w:t>完善</w:t>
      </w:r>
      <w:r>
        <w:rPr>
          <w:rFonts w:hint="eastAsia" w:ascii="仿宋" w:hAnsi="仿宋" w:eastAsia="仿宋"/>
          <w:snapToGrid w:val="0"/>
          <w:color w:val="333333"/>
          <w:kern w:val="0"/>
          <w:sz w:val="32"/>
          <w:szCs w:val="32"/>
          <w:shd w:val="clear" w:color="auto" w:fill="FFFFFF"/>
          <w:lang w:eastAsia="zh-CN"/>
        </w:rPr>
        <w:t>政府</w:t>
      </w:r>
      <w:r>
        <w:rPr>
          <w:rFonts w:hint="eastAsia" w:ascii="仿宋" w:hAnsi="仿宋" w:eastAsia="仿宋"/>
          <w:snapToGrid w:val="0"/>
          <w:color w:val="333333"/>
          <w:kern w:val="0"/>
          <w:sz w:val="32"/>
          <w:szCs w:val="32"/>
          <w:shd w:val="clear" w:color="auto" w:fill="FFFFFF"/>
        </w:rPr>
        <w:t>信息公开制度建设。进一步完善政府信息公开工作考评监督、培训宣传等制度建设，确保我委政府信息公开向制度化、规范化发展，推动我委政府信息公开工作再上新台阶。</w:t>
      </w:r>
    </w:p>
    <w:p>
      <w:pPr>
        <w:ind w:firstLine="640" w:firstLineChars="200"/>
        <w:rPr>
          <w:rFonts w:ascii="仿宋" w:hAnsi="仿宋" w:eastAsia="仿宋"/>
          <w:snapToGrid w:val="0"/>
          <w:kern w:val="0"/>
          <w:sz w:val="32"/>
          <w:szCs w:val="32"/>
          <w:shd w:val="clear" w:color="auto" w:fill="FFFFFF"/>
        </w:rPr>
      </w:pPr>
      <w:r>
        <w:rPr>
          <w:rFonts w:ascii="仿宋" w:hAnsi="仿宋" w:eastAsia="仿宋"/>
          <w:snapToGrid w:val="0"/>
          <w:kern w:val="0"/>
          <w:sz w:val="32"/>
          <w:szCs w:val="32"/>
          <w:shd w:val="clear" w:color="auto" w:fill="FFFFFF"/>
        </w:rPr>
        <w:t>本报告电子版可从</w:t>
      </w:r>
      <w:r>
        <w:rPr>
          <w:rFonts w:hint="eastAsia" w:ascii="仿宋" w:hAnsi="仿宋" w:eastAsia="仿宋"/>
          <w:snapToGrid w:val="0"/>
          <w:kern w:val="0"/>
          <w:sz w:val="32"/>
          <w:szCs w:val="32"/>
          <w:shd w:val="clear" w:color="auto" w:fill="FFFFFF"/>
        </w:rPr>
        <w:t>三亚市</w:t>
      </w:r>
      <w:r>
        <w:rPr>
          <w:rFonts w:ascii="仿宋" w:hAnsi="仿宋" w:eastAsia="仿宋"/>
          <w:snapToGrid w:val="0"/>
          <w:kern w:val="0"/>
          <w:sz w:val="32"/>
          <w:szCs w:val="32"/>
          <w:shd w:val="clear" w:color="auto" w:fill="FFFFFF"/>
        </w:rPr>
        <w:t>发展和改革委员会</w:t>
      </w:r>
      <w:r>
        <w:rPr>
          <w:rFonts w:hint="eastAsia" w:ascii="仿宋" w:hAnsi="仿宋" w:eastAsia="仿宋"/>
          <w:snapToGrid w:val="0"/>
          <w:kern w:val="0"/>
          <w:sz w:val="32"/>
          <w:szCs w:val="32"/>
          <w:shd w:val="clear" w:color="auto" w:fill="FFFFFF"/>
        </w:rPr>
        <w:t>门户</w:t>
      </w:r>
      <w:r>
        <w:rPr>
          <w:rFonts w:ascii="仿宋" w:hAnsi="仿宋" w:eastAsia="仿宋"/>
          <w:snapToGrid w:val="0"/>
          <w:kern w:val="0"/>
          <w:sz w:val="32"/>
          <w:szCs w:val="32"/>
          <w:shd w:val="clear" w:color="auto" w:fill="FFFFFF"/>
        </w:rPr>
        <w:t>网站（</w:t>
      </w:r>
      <w:r>
        <w:rPr>
          <w:rFonts w:hint="eastAsia" w:ascii="仿宋" w:hAnsi="仿宋" w:eastAsia="仿宋" w:cs="仿宋_GB2312"/>
          <w:snapToGrid w:val="0"/>
          <w:kern w:val="0"/>
          <w:sz w:val="32"/>
          <w:szCs w:val="32"/>
        </w:rPr>
        <w:t>http://fg.sanya.gov.cn</w:t>
      </w:r>
      <w:r>
        <w:rPr>
          <w:rFonts w:hint="eastAsia" w:ascii="仿宋" w:hAnsi="仿宋" w:eastAsia="仿宋"/>
          <w:snapToGrid w:val="0"/>
          <w:kern w:val="0"/>
          <w:sz w:val="32"/>
          <w:szCs w:val="32"/>
        </w:rPr>
        <w:t>/</w:t>
      </w:r>
      <w:r>
        <w:rPr>
          <w:rFonts w:ascii="仿宋" w:hAnsi="仿宋" w:eastAsia="仿宋"/>
          <w:snapToGrid w:val="0"/>
          <w:kern w:val="0"/>
          <w:sz w:val="32"/>
          <w:szCs w:val="32"/>
          <w:shd w:val="clear" w:color="auto" w:fill="FFFFFF"/>
        </w:rPr>
        <w:t>）下载。如对本报告有任何疑问，请与</w:t>
      </w:r>
      <w:r>
        <w:rPr>
          <w:rFonts w:hint="eastAsia" w:ascii="仿宋" w:hAnsi="仿宋" w:eastAsia="仿宋"/>
          <w:snapToGrid w:val="0"/>
          <w:kern w:val="0"/>
          <w:sz w:val="32"/>
          <w:szCs w:val="32"/>
          <w:shd w:val="clear" w:color="auto" w:fill="FFFFFF"/>
        </w:rPr>
        <w:t>市</w:t>
      </w:r>
      <w:r>
        <w:rPr>
          <w:rFonts w:ascii="仿宋" w:hAnsi="仿宋" w:eastAsia="仿宋"/>
          <w:snapToGrid w:val="0"/>
          <w:kern w:val="0"/>
          <w:sz w:val="32"/>
          <w:szCs w:val="32"/>
          <w:shd w:val="clear" w:color="auto" w:fill="FFFFFF"/>
        </w:rPr>
        <w:t>发展改革委办公室联系（电话：0898-</w:t>
      </w:r>
      <w:r>
        <w:rPr>
          <w:rFonts w:hint="eastAsia" w:ascii="仿宋" w:hAnsi="仿宋" w:eastAsia="仿宋"/>
          <w:snapToGrid w:val="0"/>
          <w:kern w:val="0"/>
          <w:sz w:val="32"/>
          <w:szCs w:val="32"/>
          <w:shd w:val="clear" w:color="auto" w:fill="FFFFFF"/>
        </w:rPr>
        <w:t>88205988</w:t>
      </w:r>
      <w:r>
        <w:rPr>
          <w:rFonts w:ascii="仿宋" w:hAnsi="仿宋" w:eastAsia="仿宋"/>
          <w:snapToGrid w:val="0"/>
          <w:kern w:val="0"/>
          <w:sz w:val="32"/>
          <w:szCs w:val="32"/>
          <w:shd w:val="clear" w:color="auto" w:fill="FFFFFF"/>
        </w:rPr>
        <w:t>，E-mail：</w:t>
      </w:r>
      <w:r>
        <w:rPr>
          <w:rFonts w:hint="eastAsia" w:ascii="仿宋" w:hAnsi="仿宋" w:eastAsia="仿宋"/>
          <w:snapToGrid w:val="0"/>
          <w:kern w:val="0"/>
          <w:sz w:val="32"/>
          <w:szCs w:val="32"/>
          <w:shd w:val="clear" w:color="auto" w:fill="FFFFFF"/>
        </w:rPr>
        <w:t>sytz2008</w:t>
      </w:r>
      <w:r>
        <w:rPr>
          <w:rFonts w:ascii="仿宋" w:hAnsi="仿宋" w:eastAsia="仿宋"/>
          <w:snapToGrid w:val="0"/>
          <w:kern w:val="0"/>
          <w:sz w:val="32"/>
          <w:szCs w:val="32"/>
          <w:shd w:val="clear" w:color="auto" w:fill="FFFFFF"/>
        </w:rPr>
        <w:t>@1</w:t>
      </w:r>
      <w:r>
        <w:rPr>
          <w:rFonts w:hint="eastAsia" w:ascii="仿宋" w:hAnsi="仿宋" w:eastAsia="仿宋"/>
          <w:snapToGrid w:val="0"/>
          <w:kern w:val="0"/>
          <w:sz w:val="32"/>
          <w:szCs w:val="32"/>
          <w:shd w:val="clear" w:color="auto" w:fill="FFFFFF"/>
        </w:rPr>
        <w:t>26</w:t>
      </w:r>
      <w:r>
        <w:rPr>
          <w:rFonts w:ascii="仿宋" w:hAnsi="仿宋" w:eastAsia="仿宋"/>
          <w:snapToGrid w:val="0"/>
          <w:kern w:val="0"/>
          <w:sz w:val="32"/>
          <w:szCs w:val="32"/>
          <w:shd w:val="clear" w:color="auto" w:fill="FFFFFF"/>
        </w:rPr>
        <w:t>.com）。</w:t>
      </w:r>
    </w:p>
    <w:p>
      <w:pPr>
        <w:rPr>
          <w:rFonts w:ascii="仿宋" w:hAnsi="仿宋" w:eastAsia="仿宋"/>
          <w:snapToGrid w:val="0"/>
          <w:kern w:val="0"/>
          <w:sz w:val="32"/>
          <w:szCs w:val="32"/>
        </w:rPr>
      </w:pPr>
    </w:p>
    <w:p>
      <w:pPr>
        <w:rPr>
          <w:rFonts w:hint="eastAsia" w:ascii="仿宋" w:hAnsi="仿宋" w:eastAsia="仿宋"/>
          <w:snapToGrid w:val="0"/>
          <w:kern w:val="0"/>
          <w:sz w:val="32"/>
          <w:szCs w:val="32"/>
        </w:rPr>
      </w:pPr>
    </w:p>
    <w:sectPr>
      <w:footerReference r:id="rId3" w:type="default"/>
      <w:footerReference r:id="rId4" w:type="even"/>
      <w:pgSz w:w="11906" w:h="16838"/>
      <w:pgMar w:top="2098" w:right="1474" w:bottom="1984" w:left="1587" w:header="851" w:footer="992" w:gutter="0"/>
      <w:pgNumType w:fmt="numberInDash"/>
      <w:cols w:space="720" w:num="1"/>
      <w:docGrid w:type="lines"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stem">
    <w:altName w:val="宋体"/>
    <w:panose1 w:val="00000000000000000000"/>
    <w:charset w:val="86"/>
    <w:family w:val="auto"/>
    <w:pitch w:val="default"/>
    <w:sig w:usb0="00000001" w:usb1="080E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lang/>
      </w:rPr>
      <w:t>- 4 -</w:t>
    </w:r>
    <w:r>
      <w:rPr>
        <w:rStyle w:val="7"/>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303"/>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7EC"/>
    <w:rsid w:val="00080D59"/>
    <w:rsid w:val="00081E4E"/>
    <w:rsid w:val="001539D6"/>
    <w:rsid w:val="00183FCA"/>
    <w:rsid w:val="0019349E"/>
    <w:rsid w:val="001E65D4"/>
    <w:rsid w:val="00211413"/>
    <w:rsid w:val="0021232E"/>
    <w:rsid w:val="0027013B"/>
    <w:rsid w:val="002C1ACF"/>
    <w:rsid w:val="00333A68"/>
    <w:rsid w:val="003766AF"/>
    <w:rsid w:val="0042278E"/>
    <w:rsid w:val="004975B8"/>
    <w:rsid w:val="004C0B19"/>
    <w:rsid w:val="004C6ADA"/>
    <w:rsid w:val="004E64F7"/>
    <w:rsid w:val="004F10C6"/>
    <w:rsid w:val="005811C7"/>
    <w:rsid w:val="0058757F"/>
    <w:rsid w:val="005E6CA0"/>
    <w:rsid w:val="00626504"/>
    <w:rsid w:val="006477AF"/>
    <w:rsid w:val="00682C1C"/>
    <w:rsid w:val="00684760"/>
    <w:rsid w:val="006B7D2D"/>
    <w:rsid w:val="006C0F0A"/>
    <w:rsid w:val="0073195D"/>
    <w:rsid w:val="007757E8"/>
    <w:rsid w:val="00794EBD"/>
    <w:rsid w:val="007A59AE"/>
    <w:rsid w:val="007B7342"/>
    <w:rsid w:val="007C05CE"/>
    <w:rsid w:val="007D0C1F"/>
    <w:rsid w:val="00847CA0"/>
    <w:rsid w:val="008E4D11"/>
    <w:rsid w:val="00905BE8"/>
    <w:rsid w:val="009C714C"/>
    <w:rsid w:val="00A17D6C"/>
    <w:rsid w:val="00A42ABB"/>
    <w:rsid w:val="00A95350"/>
    <w:rsid w:val="00B15B3B"/>
    <w:rsid w:val="00B40802"/>
    <w:rsid w:val="00B44B58"/>
    <w:rsid w:val="00B51303"/>
    <w:rsid w:val="00B8565C"/>
    <w:rsid w:val="00C169EA"/>
    <w:rsid w:val="00C45FFD"/>
    <w:rsid w:val="00C6600C"/>
    <w:rsid w:val="00C72569"/>
    <w:rsid w:val="00C855DE"/>
    <w:rsid w:val="00D070D0"/>
    <w:rsid w:val="00D32A4F"/>
    <w:rsid w:val="00D4553F"/>
    <w:rsid w:val="00D93E9D"/>
    <w:rsid w:val="00DB7B3E"/>
    <w:rsid w:val="00DD0AD5"/>
    <w:rsid w:val="00DE6D1B"/>
    <w:rsid w:val="00DF1747"/>
    <w:rsid w:val="00E36B94"/>
    <w:rsid w:val="00E50EB9"/>
    <w:rsid w:val="00EE0715"/>
    <w:rsid w:val="00F45B4E"/>
    <w:rsid w:val="00FD4D2F"/>
    <w:rsid w:val="77213C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5">
    <w:name w:val="Default Paragraph Font"/>
    <w:link w:val="6"/>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Char Char Char Char Char Char Char Char Char Char Char Char Char Char Char Char Char Char Char Char Char Char Char Char Char Char Char Char Char Char Char Char Char"/>
    <w:basedOn w:val="1"/>
    <w:link w:val="5"/>
    <w:uiPriority w:val="0"/>
    <w:pPr>
      <w:widowControl/>
      <w:spacing w:after="160" w:afterLines="0" w:afterAutospacing="0" w:line="240" w:lineRule="exact"/>
      <w:jc w:val="left"/>
    </w:pPr>
  </w:style>
  <w:style w:type="character" w:styleId="7">
    <w:name w:val="page number"/>
    <w:basedOn w:val="5"/>
    <w:uiPriority w:val="0"/>
  </w:style>
  <w:style w:type="character" w:customStyle="1" w:styleId="8">
    <w:name w:val="msoins"/>
    <w:basedOn w:val="5"/>
    <w:uiPriority w:val="0"/>
    <w:rPr>
      <w:rFonts w:ascii="System"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316</Words>
  <Characters>1804</Characters>
  <Lines>15</Lines>
  <Paragraphs>4</Paragraphs>
  <TotalTime>1</TotalTime>
  <ScaleCrop>false</ScaleCrop>
  <LinksUpToDate>false</LinksUpToDate>
  <CharactersWithSpaces>2116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2015-01-14T08:23:00Z</dcterms:created>
  <dc:creator>Administrator</dc:creator>
  <cp:lastModifiedBy>Administrator</cp:lastModifiedBy>
  <cp:lastPrinted>2015-02-04T02:09:00Z</cp:lastPrinted>
  <dcterms:modified xsi:type="dcterms:W3CDTF">2023-07-12T08:52:05Z</dcterms:modified>
  <dc:title>根据《中华人民共和国政府信息公开条例》要求，三亚市发展和改革委员会编制了2012年度报告。全文包括政府信息主动公开情况、政府信息依申请公开情况、政府信息公开收费情况、行政复议情况、存在的问题及改进措施等内容。</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