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1：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pacing w:val="-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36"/>
          <w:szCs w:val="36"/>
        </w:rPr>
        <w:t>三亚市海鲜排档餐饮海鲜品平均差价率表</w:t>
      </w:r>
    </w:p>
    <w:tbl>
      <w:tblPr>
        <w:tblStyle w:val="4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306"/>
        <w:gridCol w:w="373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种类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档次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平均批发参考价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（元/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平均差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价率（%）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鱼类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50元及以下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51～100元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101～200元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201～250元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螺贝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类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30元及以下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31～60元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61～100元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101～150元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蟹类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50元及以下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51～80元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81～120元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121～150元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虾类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50元及以下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51～100元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101～200元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201～300元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</w:t>
            </w:r>
          </w:p>
        </w:tc>
      </w:tr>
    </w:tbl>
    <w:p>
      <w:pPr/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  注：各类海鲜品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平均批发参考上限价格：鱼类250元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500克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，螺贝类150元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500克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蟹类150元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500克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，虾类300元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500克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0407"/>
    <w:rsid w:val="03310407"/>
    <w:rsid w:val="082815EA"/>
    <w:rsid w:val="1D9F1BF2"/>
    <w:rsid w:val="31124BF5"/>
    <w:rsid w:val="44960651"/>
    <w:rsid w:val="672653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zdv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2018-11-27T02:45:00Z</dcterms:created>
  <dc:creator>袁兴秀</dc:creator>
  <cp:lastModifiedBy>袁兴秀</cp:lastModifiedBy>
  <cp:lastPrinted>2018-12-06T00:28:00Z</cp:lastPrinted>
  <dcterms:modified xsi:type="dcterms:W3CDTF">2018-12-07T03:12:37Z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