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top w:val="none" w:color="auto" w:sz="0" w:space="1"/>
          <w:left w:val="none" w:color="auto" w:sz="0" w:space="4"/>
          <w:bottom w:val="none" w:color="FF0000" w:sz="0" w:space="8"/>
          <w:right w:val="none" w:color="auto" w:sz="0" w:space="4"/>
        </w:pBdr>
        <w:spacing w:line="576" w:lineRule="exact"/>
        <w:rPr>
          <w:rFonts w:hint="eastAsia" w:ascii="仿宋_GB2312" w:hAnsi="仿宋" w:eastAsia="仿宋_GB2312" w:cs="仿宋"/>
          <w:sz w:val="32"/>
          <w:szCs w:val="32"/>
        </w:rPr>
      </w:pPr>
    </w:p>
    <w:p>
      <w:pPr>
        <w:pBdr>
          <w:top w:val="none" w:color="auto" w:sz="0" w:space="1"/>
          <w:left w:val="none" w:color="auto" w:sz="0" w:space="4"/>
          <w:bottom w:val="none" w:color="auto" w:sz="0" w:space="1"/>
          <w:right w:val="none" w:color="auto" w:sz="0" w:space="4"/>
        </w:pBdr>
        <w:spacing w:line="576" w:lineRule="exact"/>
        <w:ind w:firstLine="640" w:firstLineChars="200"/>
        <w:jc w:val="left"/>
        <w:rPr>
          <w:rFonts w:hint="eastAsia" w:ascii="仿宋_GB2312" w:hAnsi="仿宋_GB2312" w:eastAsia="仿宋_GB2312"/>
          <w:sz w:val="32"/>
          <w:szCs w:val="32"/>
        </w:rPr>
      </w:pPr>
    </w:p>
    <w:p>
      <w:pPr>
        <w:pBdr>
          <w:top w:val="none" w:color="auto" w:sz="0" w:space="1"/>
          <w:left w:val="none" w:color="auto" w:sz="0" w:space="4"/>
          <w:bottom w:val="none" w:color="auto" w:sz="0" w:space="1"/>
          <w:right w:val="none" w:color="auto" w:sz="0" w:space="4"/>
        </w:pBdr>
        <w:spacing w:line="576" w:lineRule="exact"/>
        <w:ind w:firstLine="640" w:firstLineChars="200"/>
        <w:jc w:val="left"/>
        <w:rPr>
          <w:rFonts w:hint="eastAsia" w:ascii="仿宋_GB2312" w:hAnsi="仿宋_GB2312" w:eastAsia="仿宋_GB2312"/>
          <w:sz w:val="32"/>
          <w:szCs w:val="32"/>
        </w:rPr>
      </w:pPr>
    </w:p>
    <w:p>
      <w:pPr>
        <w:pBdr>
          <w:top w:val="none" w:color="auto" w:sz="0" w:space="1"/>
          <w:left w:val="none" w:color="auto" w:sz="0" w:space="4"/>
          <w:bottom w:val="none" w:color="auto" w:sz="0" w:space="1"/>
          <w:right w:val="none" w:color="auto" w:sz="0" w:space="4"/>
        </w:pBdr>
        <w:spacing w:line="1600" w:lineRule="exact"/>
        <w:jc w:val="center"/>
        <w:rPr>
          <w:rFonts w:hint="eastAsia" w:ascii="仿宋_GB2312" w:hAnsi="仿宋_GB2312" w:eastAsia="仿宋_GB2312"/>
          <w:sz w:val="32"/>
          <w:szCs w:val="32"/>
        </w:rPr>
      </w:pPr>
    </w:p>
    <w:p>
      <w:pPr>
        <w:pBdr>
          <w:top w:val="none" w:color="auto" w:sz="0" w:space="1"/>
          <w:left w:val="none" w:color="auto" w:sz="0" w:space="4"/>
          <w:bottom w:val="none" w:color="auto" w:sz="0" w:space="1"/>
          <w:right w:val="none" w:color="auto" w:sz="0" w:space="4"/>
        </w:pBdr>
        <w:tabs>
          <w:tab w:val="right" w:pos="8844"/>
        </w:tabs>
        <w:wordWrap w:val="0"/>
        <w:spacing w:line="576" w:lineRule="exact"/>
        <w:jc w:val="center"/>
        <w:rPr>
          <w:rFonts w:hint="eastAsia" w:ascii="仿宋_GB2312" w:hAnsi="仿宋_GB2312" w:eastAsia="仿宋_GB2312"/>
          <w:sz w:val="32"/>
          <w:szCs w:val="32"/>
        </w:rPr>
      </w:pPr>
      <w:r>
        <w:rPr>
          <w:rFonts w:hint="default" w:ascii="Times New Roman" w:hAnsi="Times New Roman" w:eastAsia="仿宋_GB2312" w:cs="Times New Roman"/>
          <w:color w:val="auto"/>
          <w:sz w:val="32"/>
          <w:szCs w:val="32"/>
          <w:lang w:eastAsia="zh-CN"/>
        </w:rPr>
        <w:t>三发改</w:t>
      </w:r>
      <w:r>
        <w:rPr>
          <w:rFonts w:hint="eastAsia"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号</w:t>
      </w:r>
    </w:p>
    <w:p>
      <w:pPr>
        <w:pBdr>
          <w:top w:val="none" w:color="auto" w:sz="0" w:space="1"/>
          <w:left w:val="none" w:color="auto" w:sz="0" w:space="4"/>
          <w:bottom w:val="none" w:color="auto" w:sz="0" w:space="1"/>
          <w:right w:val="none" w:color="auto" w:sz="0" w:space="4"/>
        </w:pBdr>
        <w:spacing w:line="576" w:lineRule="exact"/>
        <w:ind w:firstLine="640" w:firstLineChars="200"/>
        <w:jc w:val="center"/>
        <w:rPr>
          <w:rFonts w:hint="eastAsia" w:ascii="仿宋_GB2312" w:hAnsi="仿宋_GB2312" w:eastAsia="仿宋_GB2312"/>
          <w:sz w:val="32"/>
          <w:szCs w:val="32"/>
          <w:lang w:eastAsia="zh-CN"/>
        </w:rPr>
      </w:pPr>
      <w:bookmarkStart w:id="0" w:name="标题"/>
      <w:bookmarkEnd w:id="0"/>
      <w:bookmarkStart w:id="1" w:name="正文"/>
      <w:bookmarkEnd w:id="1"/>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bidi w:val="0"/>
        <w:adjustRightInd/>
        <w:snapToGrid/>
        <w:spacing w:line="576"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26035</wp:posOffset>
                </wp:positionV>
                <wp:extent cx="5857875" cy="0"/>
                <wp:effectExtent l="0" t="0" r="0" b="0"/>
                <wp:wrapNone/>
                <wp:docPr id="1" name="AutoShape 2"/>
                <wp:cNvGraphicFramePr/>
                <a:graphic xmlns:a="http://schemas.openxmlformats.org/drawingml/2006/main">
                  <a:graphicData uri="http://schemas.microsoft.com/office/word/2010/wordprocessingShape">
                    <wps:wsp>
                      <wps:cNvCnPr/>
                      <wps:spPr>
                        <a:xfrm>
                          <a:off x="0" y="0"/>
                          <a:ext cx="5857875" cy="0"/>
                        </a:xfrm>
                        <a:prstGeom prst="straightConnector1">
                          <a:avLst/>
                        </a:prstGeom>
                        <a:ln w="15875">
                          <a:noFill/>
                        </a:ln>
                      </wps:spPr>
                      <wps:bodyPr/>
                    </wps:wsp>
                  </a:graphicData>
                </a:graphic>
              </wp:anchor>
            </w:drawing>
          </mc:Choice>
          <mc:Fallback>
            <w:pict>
              <v:shape id="AutoShape 2" o:spid="_x0000_s1026" o:spt="32" type="#_x0000_t32" style="position:absolute;left:0pt;margin-left:-4.4pt;margin-top:2.05pt;height:0pt;width:461.25pt;z-index:251658240;mso-width-relative:page;mso-height-relative:page;" filled="f" stroked="f" coordsize="21600,21600" o:gfxdata="UEsDBAoAAAAAAIdO4kAAAAAAAAAAAAAAAAAEAAAAZHJzL1BLAwQUAAAACACHTuJAB0JUYNYAAAAG&#10;AQAADwAAAGRycy9kb3ducmV2LnhtbE3OTU7DMBAF4D0Sd7AGiQ1q7RQoJcTpAqWwKUi0PcAknvyI&#10;eBzFbhtuj2EDy6c3evNl68n24kSj7xxrSOYKBHHlTMeNhsN+M1uB8AHZYO+YNHyRh3V+eZFhatyZ&#10;P+i0C42II+xT1NCGMKRS+qoli37uBuLY1W60GGIcG2lGPMdx28uFUktpseP4ocWBnluqPndHq2F6&#10;K+9N52+G97p4PajtZlHUxYvW11eJegIRaAp/x/DDj3TIo6l0RzZe9BpmqygPGu4SELF+TG4fQJS/&#10;WeaZ/M/PvwFQSwMEFAAAAAgAh07iQD9N6l12AQAA5wIAAA4AAABkcnMvZTJvRG9jLnhtbK1STU8j&#10;MQy9I/Efoty301YqVKNO0QoEFwSVgB8QMkknUhJHdui0/x4nLQXt3lZ78cRfz37Ps7rZBy92BslB&#10;7ORsMpXCRA29i9tOvr3e/1pKQVnFXnmIppMHQ/JmfXmxGlNr5jCA7w0KBonUjqmTQ86pbRrSgwmK&#10;JpBM5KQFDCqzi9umRzUyevDNfDq9akbAPiFoQ8TRu2NSriu+tUbnZ2vJZOE7ybvlarHa92Kb9Uq1&#10;W1RpcPq0hvqHLYJykYeeoe5UVuID3V9QwWkEApsnGkID1jptKgdmM5v+weZlUMlULiwOpbNM9P9g&#10;9dNug8L1fDspogp8ot8fGepkMS/yjIlarrqNGzx5lDZYuO4thvJlFmJfJT2cJTX7LDQHF8vF9fJ6&#10;IYX+yjXfjQkpPxgIojw6SRmV2w75FmLkwwHOqqRq90iZR3PjV0OZ6qMYeetFQS9+hHvn/bHORy4v&#10;ix9XLa936A+VQY2zmhXwdPlyrp9+7f7+P9e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B0JUYNYA&#10;AAAGAQAADwAAAAAAAAABACAAAAAiAAAAZHJzL2Rvd25yZXYueG1sUEsBAhQAFAAAAAgAh07iQD9N&#10;6l12AQAA5wIAAA4AAAAAAAAAAQAgAAAAJQEAAGRycy9lMm9Eb2MueG1sUEsFBgAAAAAGAAYAWQEA&#10;AA0FAAAAAA==&#10;">
                <v:fill on="f" focussize="0,0"/>
                <v:stroke on="f" weight="1.25pt"/>
                <v:imagedata o:title=""/>
                <o:lock v:ext="edit" aspectratio="f"/>
              </v:shape>
            </w:pict>
          </mc:Fallback>
        </mc:AlternateContent>
      </w:r>
      <w:bookmarkStart w:id="2" w:name="Content"/>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三亚市发展和改革委员会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eastAsia="zh-CN"/>
        </w:rPr>
        <w:t>印发《三亚市市直行政事业单位公务用车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资产管理暂行办法》的通知</w:t>
      </w:r>
    </w:p>
    <w:p>
      <w:pPr>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市属各相关单位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《三亚市市直行政事业单位公务用车资产管理暂行办法》已经市政府专题会议（〔2024〕97号）审议通过，现印发给你们，请认真贯彻执行。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snapToGrid w:val="0"/>
          <w:color w:val="auto"/>
          <w:kern w:val="0"/>
          <w:sz w:val="32"/>
          <w:szCs w:val="32"/>
          <w:shd w:val="clear" w:color="auto" w:fill="auto"/>
        </w:rPr>
      </w:pPr>
      <w:r>
        <w:rPr>
          <w:rFonts w:hint="default" w:ascii="Times New Roman" w:hAnsi="Times New Roman" w:eastAsia="仿宋_GB2312" w:cs="Times New Roman"/>
          <w:snapToGrid w:val="0"/>
          <w:color w:val="auto"/>
          <w:kern w:val="0"/>
          <w:sz w:val="32"/>
          <w:szCs w:val="32"/>
          <w:shd w:val="clear" w:color="auto" w:fill="auto"/>
          <w:lang w:val="en-US" w:eastAsia="zh-CN"/>
        </w:rPr>
        <w:t xml:space="preserve">                            </w:t>
      </w:r>
      <w:r>
        <w:rPr>
          <w:rFonts w:hint="default" w:ascii="Times New Roman" w:hAnsi="Times New Roman" w:eastAsia="仿宋_GB2312" w:cs="Times New Roman"/>
          <w:snapToGrid w:val="0"/>
          <w:color w:val="auto"/>
          <w:kern w:val="0"/>
          <w:sz w:val="32"/>
          <w:szCs w:val="32"/>
          <w:shd w:val="clear" w:color="auto" w:fill="auto"/>
        </w:rPr>
        <w:t>三亚市发展和改革委员会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kern w:val="0"/>
          <w:sz w:val="32"/>
          <w:szCs w:val="32"/>
          <w:shd w:val="clear" w:color="auto" w:fill="auto"/>
        </w:rPr>
        <w:t xml:space="preserve"> </w:t>
      </w:r>
      <w:r>
        <w:rPr>
          <w:rFonts w:hint="default" w:ascii="Times New Roman" w:hAnsi="Times New Roman" w:eastAsia="仿宋_GB2312" w:cs="Times New Roman"/>
          <w:snapToGrid w:val="0"/>
          <w:color w:val="auto"/>
          <w:kern w:val="0"/>
          <w:sz w:val="32"/>
          <w:szCs w:val="32"/>
          <w:shd w:val="clear" w:color="auto" w:fill="auto"/>
          <w:lang w:val="en-US" w:eastAsia="zh-CN"/>
        </w:rPr>
        <w:t xml:space="preserve">   </w:t>
      </w:r>
      <w:r>
        <w:rPr>
          <w:rFonts w:hint="default" w:ascii="Times New Roman" w:hAnsi="Times New Roman" w:eastAsia="仿宋_GB2312" w:cs="Times New Roman"/>
          <w:snapToGrid w:val="0"/>
          <w:color w:val="auto"/>
          <w:kern w:val="0"/>
          <w:sz w:val="32"/>
          <w:szCs w:val="32"/>
          <w:shd w:val="clear" w:color="auto" w:fill="auto"/>
        </w:rPr>
        <w:t xml:space="preserve">                         </w:t>
      </w:r>
      <w:r>
        <w:rPr>
          <w:rFonts w:hint="default" w:ascii="Times New Roman" w:hAnsi="Times New Roman" w:eastAsia="仿宋_GB2312" w:cs="Times New Roman"/>
          <w:snapToGrid w:val="0"/>
          <w:color w:val="auto"/>
          <w:kern w:val="0"/>
          <w:sz w:val="32"/>
          <w:szCs w:val="32"/>
          <w:shd w:val="clear" w:color="auto" w:fill="auto"/>
          <w:lang w:val="en-US" w:eastAsia="zh-CN"/>
        </w:rPr>
        <w:t xml:space="preserve">   </w:t>
      </w:r>
      <w:r>
        <w:rPr>
          <w:rFonts w:hint="default" w:ascii="Times New Roman" w:hAnsi="Times New Roman" w:eastAsia="仿宋_GB2312" w:cs="Times New Roman"/>
          <w:snapToGrid w:val="0"/>
          <w:color w:val="auto"/>
          <w:kern w:val="0"/>
          <w:sz w:val="32"/>
          <w:szCs w:val="32"/>
          <w:shd w:val="clear" w:color="auto" w:fill="auto"/>
        </w:rPr>
        <w:t>20</w:t>
      </w:r>
      <w:r>
        <w:rPr>
          <w:rFonts w:hint="default" w:ascii="Times New Roman" w:hAnsi="Times New Roman" w:eastAsia="仿宋_GB2312" w:cs="Times New Roman"/>
          <w:snapToGrid w:val="0"/>
          <w:color w:val="auto"/>
          <w:kern w:val="0"/>
          <w:sz w:val="32"/>
          <w:szCs w:val="32"/>
          <w:shd w:val="clear" w:color="auto" w:fill="auto"/>
          <w:lang w:val="en-US" w:eastAsia="zh-CN"/>
        </w:rPr>
        <w:t>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11</w:t>
      </w:r>
      <w:bookmarkStart w:id="3" w:name="_GoBack"/>
      <w:bookmarkEnd w:id="3"/>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（此件</w:t>
      </w:r>
      <w:r>
        <w:rPr>
          <w:rFonts w:hint="eastAsia" w:ascii="Times New Roman" w:hAnsi="Times New Roman" w:eastAsia="仿宋_GB2312" w:cs="Times New Roman"/>
          <w:color w:val="auto"/>
          <w:sz w:val="32"/>
          <w:szCs w:val="32"/>
          <w:lang w:eastAsia="zh-CN"/>
        </w:rPr>
        <w:t>主动</w:t>
      </w:r>
      <w:r>
        <w:rPr>
          <w:rFonts w:hint="default" w:ascii="Times New Roman" w:hAnsi="Times New Roman" w:eastAsia="仿宋_GB2312" w:cs="Times New Roman"/>
          <w:color w:val="auto"/>
          <w:sz w:val="32"/>
          <w:szCs w:val="32"/>
          <w:lang w:eastAsia="zh-CN"/>
        </w:rPr>
        <w:t>公开</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三亚市市直行政事业单位公务用车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资产管理暂行办法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jc w:val="center"/>
        <w:textAlignment w:val="auto"/>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第一条 </w:t>
      </w:r>
      <w:r>
        <w:rPr>
          <w:rFonts w:hint="eastAsia" w:ascii="黑体" w:hAnsi="黑体" w:eastAsia="黑体" w:cs="黑体"/>
          <w:color w:val="auto"/>
          <w:highlight w:val="none"/>
          <w:lang w:val="en-US" w:eastAsia="zh-CN"/>
        </w:rPr>
        <w:t xml:space="preserve"> </w:t>
      </w:r>
      <w:r>
        <w:rPr>
          <w:rFonts w:hint="eastAsia" w:ascii="Times New Roman" w:hAnsi="Times New Roman" w:eastAsia="仿宋_GB2312" w:cs="Times New Roman"/>
          <w:b w:val="0"/>
          <w:bCs w:val="0"/>
          <w:color w:val="auto"/>
          <w:sz w:val="32"/>
          <w:szCs w:val="32"/>
          <w:lang w:val="en-US" w:eastAsia="zh-CN"/>
        </w:rPr>
        <w:t>为进一步规范和加强三亚市市直行政事业单位公务用车资产管理，健全完善公务用车管理制度，根据《行政事业性国有资产管理条例》（国务院令第738号）《海南省党政机关公务用车管理办法》（琼办发</w:t>
      </w:r>
      <w:r>
        <w:rPr>
          <w:rFonts w:hint="default" w:ascii="Times New Roman" w:hAnsi="Times New Roman" w:eastAsia="仿宋_GB2312" w:cs="Times New Roman"/>
          <w:b w:val="0"/>
          <w:bCs/>
          <w:sz w:val="32"/>
          <w:szCs w:val="32"/>
        </w:rPr>
        <w:t>〔20</w:t>
      </w:r>
      <w:r>
        <w:rPr>
          <w:rFonts w:hint="eastAsia" w:ascii="Times New Roman" w:hAnsi="Times New Roman" w:eastAsia="仿宋_GB2312" w:cs="Times New Roman"/>
          <w:b w:val="0"/>
          <w:bCs/>
          <w:sz w:val="32"/>
          <w:szCs w:val="32"/>
          <w:lang w:val="en-US" w:eastAsia="zh-CN"/>
        </w:rPr>
        <w:t>18</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72</w:t>
      </w:r>
      <w:r>
        <w:rPr>
          <w:rFonts w:hint="default" w:ascii="Times New Roman" w:hAnsi="Times New Roman" w:eastAsia="仿宋_GB2312" w:cs="Times New Roman"/>
          <w:b w:val="0"/>
          <w:bCs/>
          <w:sz w:val="32"/>
          <w:szCs w:val="32"/>
          <w:lang w:val="en-US" w:eastAsia="zh-CN"/>
        </w:rPr>
        <w:t>号</w:t>
      </w:r>
      <w:r>
        <w:rPr>
          <w:rFonts w:hint="eastAsia" w:ascii="Times New Roman" w:hAnsi="Times New Roman" w:eastAsia="仿宋_GB2312" w:cs="Times New Roman"/>
          <w:b w:val="0"/>
          <w:bCs w:val="0"/>
          <w:color w:val="auto"/>
          <w:sz w:val="32"/>
          <w:szCs w:val="32"/>
          <w:lang w:val="en-US" w:eastAsia="zh-CN"/>
        </w:rPr>
        <w:t>）《海南省省直行政事业单位公务用车资产管理办法》（琼事管发</w:t>
      </w:r>
      <w:r>
        <w:rPr>
          <w:rFonts w:hint="default" w:ascii="Times New Roman" w:hAnsi="Times New Roman" w:eastAsia="仿宋_GB2312" w:cs="Times New Roman"/>
          <w:b w:val="0"/>
          <w:bCs/>
          <w:sz w:val="32"/>
          <w:szCs w:val="32"/>
        </w:rPr>
        <w:t>〔20</w:t>
      </w:r>
      <w:r>
        <w:rPr>
          <w:rFonts w:hint="eastAsia" w:ascii="Times New Roman" w:hAnsi="Times New Roman" w:eastAsia="仿宋_GB2312" w:cs="Times New Roman"/>
          <w:b w:val="0"/>
          <w:bCs/>
          <w:sz w:val="32"/>
          <w:szCs w:val="32"/>
          <w:lang w:val="en-US" w:eastAsia="zh-CN"/>
        </w:rPr>
        <w:t>21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val="0"/>
          <w:color w:val="auto"/>
          <w:sz w:val="32"/>
          <w:szCs w:val="32"/>
          <w:lang w:val="en-US" w:eastAsia="zh-CN"/>
        </w:rPr>
        <w:t>22号）</w:t>
      </w:r>
      <w:r>
        <w:rPr>
          <w:rFonts w:hint="eastAsia" w:ascii="仿宋_GB2312" w:hAnsi="仿宋_GB2312" w:eastAsia="仿宋_GB2312" w:cs="仿宋_GB2312"/>
          <w:sz w:val="32"/>
          <w:szCs w:val="32"/>
          <w:lang w:val="en-US" w:eastAsia="zh-CN"/>
        </w:rPr>
        <w:t>《公务用车资产清理中几种情形的处置方法的通知》（琼事管发</w:t>
      </w:r>
      <w:r>
        <w:rPr>
          <w:rFonts w:hint="default" w:ascii="Times New Roman" w:hAnsi="Times New Roman" w:eastAsia="仿宋_GB2312" w:cs="Times New Roman"/>
          <w:b w:val="0"/>
          <w:bCs w:val="0"/>
          <w:kern w:val="2"/>
          <w:sz w:val="32"/>
          <w:szCs w:val="32"/>
          <w:highlight w:val="none"/>
          <w:lang w:val="en-US" w:eastAsia="zh-CN" w:bidi="ar-SA"/>
        </w:rPr>
        <w:t>〔2021〕</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号）</w:t>
      </w:r>
      <w:r>
        <w:rPr>
          <w:rFonts w:hint="eastAsia" w:ascii="Times New Roman" w:hAnsi="Times New Roman" w:eastAsia="仿宋_GB2312" w:cs="Times New Roman"/>
          <w:b w:val="0"/>
          <w:bCs w:val="0"/>
          <w:color w:val="auto"/>
          <w:sz w:val="32"/>
          <w:szCs w:val="32"/>
          <w:lang w:val="en-US" w:eastAsia="zh-CN"/>
        </w:rPr>
        <w:t>《三亚市市直行政事业性国有资产管理暂行办法》（三财规</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号</w:t>
      </w:r>
      <w:r>
        <w:rPr>
          <w:rFonts w:hint="eastAsia" w:ascii="Times New Roman" w:hAnsi="Times New Roman" w:eastAsia="仿宋_GB2312" w:cs="Times New Roman"/>
          <w:b w:val="0"/>
          <w:bCs w:val="0"/>
          <w:color w:val="auto"/>
          <w:sz w:val="32"/>
          <w:szCs w:val="32"/>
          <w:lang w:val="en-US" w:eastAsia="zh-CN"/>
        </w:rPr>
        <w:t>）有关规定，结合三亚市市直行政事业单位公务用车管理实际</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color w:val="FF0000"/>
          <w:sz w:val="32"/>
          <w:szCs w:val="32"/>
          <w:lang w:val="en-US" w:eastAsia="zh-CN"/>
        </w:rPr>
      </w:pPr>
      <w:r>
        <w:rPr>
          <w:rFonts w:hint="eastAsia" w:ascii="Times New Roman" w:hAnsi="Times New Roman" w:eastAsia="仿宋_GB2312" w:cs="Times New Roman"/>
          <w:b/>
          <w:bCs/>
          <w:color w:val="auto"/>
          <w:sz w:val="32"/>
          <w:szCs w:val="32"/>
          <w:lang w:val="en-US" w:eastAsia="zh-CN"/>
        </w:rPr>
        <w:t>第二条</w:t>
      </w:r>
      <w:r>
        <w:rPr>
          <w:rFonts w:hint="eastAsia" w:ascii="Times New Roman" w:hAnsi="Times New Roman" w:eastAsia="仿宋_GB2312" w:cs="Times New Roman"/>
          <w:b w:val="0"/>
          <w:bCs w:val="0"/>
          <w:color w:val="auto"/>
          <w:sz w:val="32"/>
          <w:szCs w:val="32"/>
          <w:lang w:val="en-US" w:eastAsia="zh-CN"/>
        </w:rPr>
        <w:t xml:space="preserve">  本办法所称市直行政事业单位是指市直党委机关、人大机关、行政机关、政协机关、监察机关，以及工会、共青团、妇联等人民团体和事业单位（不含执行企业会计制度的事业单位）</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各区（含育才生态区）可根据本办法，结合实际制定具体管理办法。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第三条 </w:t>
      </w:r>
      <w:r>
        <w:rPr>
          <w:rFonts w:hint="eastAsia" w:ascii="Times New Roman" w:hAnsi="Times New Roman" w:eastAsia="仿宋_GB2312" w:cs="Times New Roman"/>
          <w:b w:val="0"/>
          <w:bCs w:val="0"/>
          <w:color w:val="auto"/>
          <w:sz w:val="32"/>
          <w:szCs w:val="32"/>
          <w:lang w:val="en-US" w:eastAsia="zh-CN"/>
        </w:rPr>
        <w:t xml:space="preserve"> 本办法所称公务用车，是指市直行政事业单位配备的用于定向保障公务活动的机动车辆，包括机要通信用车、应急保障用车、执法执勤用车、特种专业技术用车、实物保障用车、老干部服务用车、接待用车、调研用车、行政执法用车及工作用车</w:t>
      </w:r>
      <w:r>
        <w:rPr>
          <w:rFonts w:hint="eastAsia" w:ascii="仿宋_GB2312" w:hAnsi="仿宋_GB2312" w:eastAsia="仿宋_GB2312" w:cs="仿宋_GB2312"/>
          <w:sz w:val="32"/>
          <w:szCs w:val="32"/>
          <w:lang w:val="en-US" w:eastAsia="zh-CN"/>
        </w:rPr>
        <w:t>、业务用车等。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szCs w:val="32"/>
          <w:lang w:val="en-US" w:eastAsia="zh-CN"/>
        </w:rPr>
        <w:t>第四条</w:t>
      </w:r>
      <w:r>
        <w:rPr>
          <w:rFonts w:hint="eastAsia" w:ascii="仿宋_GB2312" w:hAnsi="仿宋_GB2312" w:eastAsia="仿宋_GB2312" w:cs="仿宋_GB2312"/>
          <w:sz w:val="32"/>
          <w:szCs w:val="32"/>
          <w:lang w:val="en-US" w:eastAsia="zh-CN"/>
        </w:rPr>
        <w:t xml:space="preserve">  本办法所称使用单位是指对公务用车进行使用和管理的单位。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第五条</w:t>
      </w:r>
      <w:r>
        <w:rPr>
          <w:rFonts w:hint="eastAsia" w:ascii="仿宋_GB2312" w:hAnsi="仿宋_GB2312" w:eastAsia="仿宋_GB2312" w:cs="仿宋_GB2312"/>
          <w:sz w:val="32"/>
          <w:szCs w:val="32"/>
          <w:lang w:val="en-US" w:eastAsia="zh-CN"/>
        </w:rPr>
        <w:t xml:space="preserve">  本</w:t>
      </w:r>
      <w:r>
        <w:rPr>
          <w:rFonts w:hint="eastAsia" w:ascii="Times New Roman" w:hAnsi="Times New Roman" w:eastAsia="仿宋_GB2312" w:cs="Times New Roman"/>
          <w:b w:val="0"/>
          <w:bCs w:val="0"/>
          <w:color w:val="auto"/>
          <w:sz w:val="32"/>
          <w:szCs w:val="32"/>
          <w:lang w:val="en-US" w:eastAsia="zh-CN"/>
        </w:rPr>
        <w:t>办法所称公务用车资产是指市直行政事业单位占有、使用的，依法确认为国家所有、能以货币计量的公务用车经济资源。</w:t>
      </w:r>
    </w:p>
    <w:p>
      <w:pPr>
        <w:pStyle w:val="6"/>
        <w:numPr>
          <w:ilvl w:val="0"/>
          <w:numId w:val="0"/>
        </w:numPr>
        <w:jc w:val="cente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第二章  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szCs w:val="32"/>
          <w:lang w:val="en-US" w:eastAsia="zh-CN"/>
        </w:rPr>
        <w:t>第六条</w:t>
      </w:r>
      <w:r>
        <w:rPr>
          <w:rFonts w:hint="eastAsia" w:ascii="楷体" w:hAnsi="楷体" w:eastAsia="楷体" w:cs="楷体"/>
          <w:b/>
          <w:bCs/>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市发展改革委作为公务用车主管部门，依法依规履行市本级公务用车资产管理职责，制定相应的管理制度并组织实施，督促各单位实施公务用车资产产权登记、开展公务用车资产清查</w:t>
      </w:r>
      <w:r>
        <w:rPr>
          <w:rFonts w:hint="eastAsia" w:ascii="仿宋_GB2312" w:hAnsi="仿宋_GB2312" w:eastAsia="仿宋_GB2312" w:cs="仿宋_GB2312"/>
          <w:sz w:val="32"/>
          <w:szCs w:val="32"/>
          <w:lang w:val="en-US" w:eastAsia="zh-CN"/>
        </w:rPr>
        <w:t>等，并接受市财政局的指导和监督。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szCs w:val="32"/>
          <w:lang w:val="en-US" w:eastAsia="zh-CN"/>
        </w:rPr>
        <w:t>第七条</w:t>
      </w:r>
      <w:r>
        <w:rPr>
          <w:rFonts w:hint="eastAsia" w:ascii="Times New Roman" w:hAnsi="Times New Roman" w:eastAsia="仿宋_GB2312" w:cs="Times New Roman"/>
          <w:b w:val="0"/>
          <w:bCs w:val="0"/>
          <w:color w:val="auto"/>
          <w:sz w:val="32"/>
          <w:szCs w:val="32"/>
          <w:lang w:val="en-US" w:eastAsia="zh-CN"/>
        </w:rPr>
        <w:t xml:space="preserve">  行政主管部门负责对本部门及所属行政事业单位的公务用车资产实施监督管理，组织开展公务用车资产清查、登记、统</w:t>
      </w:r>
      <w:r>
        <w:rPr>
          <w:rFonts w:hint="eastAsia" w:ascii="仿宋_GB2312" w:hAnsi="仿宋_GB2312" w:eastAsia="仿宋_GB2312" w:cs="仿宋_GB2312"/>
          <w:sz w:val="32"/>
          <w:szCs w:val="32"/>
          <w:lang w:val="en-US" w:eastAsia="zh-CN"/>
        </w:rPr>
        <w:t>计汇总及日常监督检查等工作。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第八条</w:t>
      </w:r>
      <w:r>
        <w:rPr>
          <w:rFonts w:hint="eastAsia" w:ascii="Times New Roman" w:hAnsi="Times New Roman" w:eastAsia="仿宋_GB2312" w:cs="Times New Roman"/>
          <w:b w:val="0"/>
          <w:bCs w:val="0"/>
          <w:color w:val="auto"/>
          <w:sz w:val="32"/>
          <w:szCs w:val="32"/>
          <w:lang w:val="en-US" w:eastAsia="zh-CN"/>
        </w:rPr>
        <w:t xml:space="preserve">  使用单位履行公务用车资产管理主体责任，具体负责本单位公务用车资产日常管理，主要包括预算管理一体化系统-资产管理模块（以下简称“资产管理系统”）上的公务用车资产录入、调拨、注销等，维护三亚市公务用车管理信息平台（以下简称“公车平台”）本单位车辆信息。  </w:t>
      </w:r>
    </w:p>
    <w:p>
      <w:pPr>
        <w:pStyle w:val="6"/>
        <w:numPr>
          <w:ilvl w:val="0"/>
          <w:numId w:val="0"/>
        </w:numPr>
        <w:jc w:val="center"/>
        <w:rPr>
          <w:rFonts w:hint="default"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第三章  公务用车资产配置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Times New Roman" w:hAnsi="Times New Roman" w:eastAsia="仿宋_GB2312" w:cs="Times New Roman"/>
          <w:b w:val="0"/>
          <w:bCs w:val="0"/>
          <w:color w:val="auto"/>
          <w:sz w:val="32"/>
          <w:szCs w:val="32"/>
          <w:lang w:val="en-US" w:eastAsia="zh-CN"/>
        </w:rPr>
        <w:t xml:space="preserve">  公务用车配置要贯彻落实过“紧日子”思想，遵循厉行节约</w:t>
      </w:r>
      <w:r>
        <w:rPr>
          <w:rFonts w:hint="eastAsia" w:ascii="仿宋_GB2312" w:hAnsi="仿宋_GB2312" w:eastAsia="仿宋_GB2312" w:cs="仿宋_GB2312"/>
          <w:sz w:val="32"/>
          <w:szCs w:val="32"/>
          <w:lang w:val="en-US" w:eastAsia="zh-CN"/>
        </w:rPr>
        <w:t>、统一管理、定向化保障、经济适用、节能环保的原则。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Times New Roman" w:hAnsi="Times New Roman" w:eastAsia="仿宋_GB2312" w:cs="Times New Roman"/>
          <w:b w:val="0"/>
          <w:bCs w:val="0"/>
          <w:color w:val="auto"/>
          <w:sz w:val="32"/>
          <w:szCs w:val="32"/>
          <w:lang w:val="en-US" w:eastAsia="zh-CN"/>
        </w:rPr>
        <w:t xml:space="preserve">  公务用车配置应当实行编制管理，严格执行车辆配置更新标准，严禁超编制、超标准配备公务用车。确因工作需要，超出规定标准配备公务用车的，必须报市公车主管部门审核同意后再</w:t>
      </w:r>
      <w:r>
        <w:rPr>
          <w:rFonts w:hint="eastAsia" w:ascii="仿宋_GB2312" w:hAnsi="仿宋_GB2312" w:eastAsia="仿宋_GB2312" w:cs="仿宋_GB2312"/>
          <w:b w:val="0"/>
          <w:bCs w:val="0"/>
          <w:color w:val="auto"/>
          <w:sz w:val="32"/>
          <w:szCs w:val="32"/>
          <w:lang w:val="en-US" w:eastAsia="zh-CN"/>
        </w:rPr>
        <w:t>向省机关事务管理局申请报批。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Times New Roman" w:hAnsi="Times New Roman" w:eastAsia="仿宋_GB2312" w:cs="Times New Roman"/>
          <w:b w:val="0"/>
          <w:bCs w:val="0"/>
          <w:color w:val="auto"/>
          <w:sz w:val="32"/>
          <w:szCs w:val="32"/>
          <w:lang w:val="en-US" w:eastAsia="zh-CN"/>
        </w:rPr>
        <w:t xml:space="preserve">  市直行政事业单位公务用车编制分别由市发展改革委、市财政局按照《中共三亚市委办公室 三亚市人民政府办公室关于印发三亚市公务用车制度改革实施方案及配套文件的通知》要求进行核定。其中机要通信用车、应急保障用车和其他按照规定配备的公务用车编制由市发展改革委会同有关部门确定，并送市财政局备案；执法执勤用车、特种专业技术用车编制由</w:t>
      </w:r>
      <w:r>
        <w:rPr>
          <w:rFonts w:hint="eastAsia" w:ascii="仿宋_GB2312" w:hAnsi="仿宋_GB2312" w:eastAsia="仿宋_GB2312" w:cs="仿宋_GB2312"/>
          <w:sz w:val="32"/>
          <w:szCs w:val="32"/>
          <w:lang w:val="en-US" w:eastAsia="zh-CN"/>
        </w:rPr>
        <w:t>市财政局会同有关部门确定，并送市发展改革委备案。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w:t>
      </w:r>
      <w:r>
        <w:rPr>
          <w:rFonts w:hint="eastAsia" w:ascii="Times New Roman" w:hAnsi="Times New Roman" w:eastAsia="仿宋_GB2312" w:cs="Times New Roman"/>
          <w:b w:val="0"/>
          <w:bCs w:val="0"/>
          <w:color w:val="auto"/>
          <w:sz w:val="32"/>
          <w:szCs w:val="32"/>
          <w:lang w:val="en-US" w:eastAsia="zh-CN"/>
        </w:rPr>
        <w:t>位新成立、机构合并、人员编制或工作量发生变动、单位名称发生变更或职能职责发生变更等情况的，均应重新核定公务用车</w:t>
      </w:r>
      <w:r>
        <w:rPr>
          <w:rFonts w:hint="eastAsia" w:ascii="仿宋_GB2312" w:hAnsi="仿宋_GB2312" w:eastAsia="仿宋_GB2312" w:cs="仿宋_GB2312"/>
          <w:sz w:val="32"/>
          <w:szCs w:val="32"/>
          <w:lang w:val="en-US" w:eastAsia="zh-CN"/>
        </w:rPr>
        <w:t>编制。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需要重新核</w:t>
      </w:r>
      <w:r>
        <w:rPr>
          <w:rFonts w:hint="eastAsia" w:ascii="Times New Roman" w:hAnsi="Times New Roman" w:eastAsia="仿宋_GB2312" w:cs="Times New Roman"/>
          <w:b w:val="0"/>
          <w:bCs w:val="0"/>
          <w:color w:val="auto"/>
          <w:sz w:val="32"/>
          <w:szCs w:val="32"/>
          <w:lang w:val="en-US" w:eastAsia="zh-CN"/>
        </w:rPr>
        <w:t>定公务用车编制的单位，自收到机构编制部门文件材料之日起15个工作日内，向行政主管部门申请核定公务用车编制。行政主管部门自收到使用单位申请之日起15个工作日内，向市发展改革委或市财政局申请重新核定编制。市发展改革委、市财政局自收到行政主管部门申请之日起15个工作日内完成编制核定工作，其中执法执勤用车、特种专业技术用车编制原则上按总量控制、优先调剂方式核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第十</w:t>
      </w:r>
      <w:r>
        <w:rPr>
          <w:rFonts w:hint="eastAsia" w:ascii="仿宋_GB2312" w:hAnsi="仿宋_GB2312" w:eastAsia="仿宋_GB2312" w:cs="仿宋_GB2312"/>
          <w:b/>
          <w:bCs/>
          <w:color w:val="auto"/>
          <w:sz w:val="32"/>
          <w:szCs w:val="32"/>
          <w:lang w:val="en-US" w:eastAsia="zh-CN"/>
        </w:rPr>
        <w:t>二条</w:t>
      </w:r>
      <w:r>
        <w:rPr>
          <w:rFonts w:hint="eastAsia" w:ascii="Times New Roman" w:hAnsi="Times New Roman" w:eastAsia="仿宋_GB2312" w:cs="Times New Roman"/>
          <w:b w:val="0"/>
          <w:bCs w:val="0"/>
          <w:color w:val="auto"/>
          <w:sz w:val="32"/>
          <w:szCs w:val="32"/>
          <w:lang w:val="en-US" w:eastAsia="zh-CN"/>
        </w:rPr>
        <w:t xml:space="preserve">  公务用车配置坚持调剂优先的原则。能通过调剂解决的，原则上不配备新车；不能调剂的，可以采用购置方式解决</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第十三条</w:t>
      </w:r>
      <w:r>
        <w:rPr>
          <w:rFonts w:hint="eastAsia" w:ascii="Times New Roman" w:hAnsi="Times New Roman" w:eastAsia="仿宋_GB2312" w:cs="Times New Roman"/>
          <w:b w:val="0"/>
          <w:bCs w:val="0"/>
          <w:color w:val="auto"/>
          <w:sz w:val="32"/>
          <w:szCs w:val="32"/>
          <w:lang w:val="en-US" w:eastAsia="zh-CN"/>
        </w:rPr>
        <w:t xml:space="preserve">  确需配置新车的，应当按照程序报批。使用单位根据本单位公务用车状况、空编情况及工作需要等因素提出公务用车</w:t>
      </w:r>
      <w:r>
        <w:rPr>
          <w:rFonts w:hint="eastAsia" w:ascii="仿宋_GB2312" w:hAnsi="仿宋_GB2312" w:eastAsia="仿宋_GB2312" w:cs="仿宋_GB2312"/>
          <w:sz w:val="32"/>
          <w:szCs w:val="32"/>
          <w:lang w:val="en-US" w:eastAsia="zh-CN"/>
        </w:rPr>
        <w:t>更新申请，经行政主管部门审核后报市公车主管部门审批。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第十四条</w:t>
      </w:r>
      <w:r>
        <w:rPr>
          <w:rFonts w:hint="eastAsia" w:ascii="Times New Roman" w:hAnsi="Times New Roman" w:eastAsia="仿宋_GB2312" w:cs="Times New Roman"/>
          <w:b w:val="0"/>
          <w:bCs w:val="0"/>
          <w:color w:val="auto"/>
          <w:sz w:val="32"/>
          <w:szCs w:val="32"/>
          <w:lang w:val="en-US" w:eastAsia="zh-CN"/>
        </w:rPr>
        <w:t xml:space="preserve">  市公车主管部门每年8月底前应当组织开展公务用车更新统计，9月底前汇总形成更新计划报市财政局编制下年度更新经费预算。购置经费专款专用，不得挪用、截留或改变使用性</w:t>
      </w:r>
      <w:r>
        <w:rPr>
          <w:rFonts w:hint="eastAsia" w:ascii="仿宋_GB2312" w:hAnsi="仿宋_GB2312" w:eastAsia="仿宋_GB2312" w:cs="仿宋_GB2312"/>
          <w:sz w:val="32"/>
          <w:szCs w:val="32"/>
          <w:lang w:val="en-US" w:eastAsia="zh-CN"/>
        </w:rPr>
        <w:t>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第十五条</w:t>
      </w:r>
      <w:r>
        <w:rPr>
          <w:rFonts w:hint="eastAsia" w:ascii="Times New Roman" w:hAnsi="Times New Roman" w:eastAsia="仿宋_GB2312" w:cs="Times New Roman"/>
          <w:b w:val="0"/>
          <w:bCs w:val="0"/>
          <w:color w:val="auto"/>
          <w:sz w:val="32"/>
          <w:szCs w:val="32"/>
          <w:lang w:val="en-US" w:eastAsia="zh-CN"/>
        </w:rPr>
        <w:t xml:space="preserve">  市财政局落实购车经费后分类安排。党政机关、人民团体和参照公务员管理的事业单位公务用车购置经费统一列入市公车主管部门年度预算；其他事业单位使用一般公共预算资金购置公务用车的，公务用车购置经费统一列入市公车主管部门年度预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第十六条</w:t>
      </w:r>
      <w:r>
        <w:rPr>
          <w:rFonts w:hint="eastAsia" w:ascii="仿宋_GB2312" w:hAnsi="仿宋_GB2312" w:eastAsia="仿宋_GB2312" w:cs="仿宋_GB2312"/>
          <w:sz w:val="32"/>
          <w:szCs w:val="32"/>
          <w:lang w:val="en-US" w:eastAsia="zh-CN"/>
        </w:rPr>
        <w:t xml:space="preserve">  市</w:t>
      </w:r>
      <w:r>
        <w:rPr>
          <w:rFonts w:hint="eastAsia" w:ascii="Times New Roman" w:hAnsi="Times New Roman" w:eastAsia="仿宋_GB2312" w:cs="Times New Roman"/>
          <w:b w:val="0"/>
          <w:bCs w:val="0"/>
          <w:color w:val="auto"/>
          <w:sz w:val="32"/>
          <w:szCs w:val="32"/>
          <w:lang w:val="en-US" w:eastAsia="zh-CN"/>
        </w:rPr>
        <w:t>公车主管部门负责编制本级年度公务用车配备更新计划，负责组织本级公务用车购置，按计划分配并调拨车辆，对</w:t>
      </w:r>
      <w:r>
        <w:rPr>
          <w:rFonts w:hint="eastAsia" w:ascii="仿宋_GB2312" w:hAnsi="仿宋_GB2312" w:eastAsia="仿宋_GB2312" w:cs="仿宋_GB2312"/>
          <w:sz w:val="32"/>
          <w:szCs w:val="32"/>
          <w:lang w:val="en-US" w:eastAsia="zh-CN"/>
        </w:rPr>
        <w:t>公务用车的使用情况进行监督检查。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sz w:val="32"/>
          <w:szCs w:val="32"/>
          <w:lang w:val="en-US" w:eastAsia="zh-CN"/>
        </w:rPr>
        <w:t xml:space="preserve">  公务</w:t>
      </w:r>
      <w:r>
        <w:rPr>
          <w:rFonts w:hint="eastAsia" w:ascii="Times New Roman" w:hAnsi="Times New Roman" w:eastAsia="仿宋_GB2312" w:cs="Times New Roman"/>
          <w:b w:val="0"/>
          <w:bCs w:val="0"/>
          <w:color w:val="auto"/>
          <w:sz w:val="32"/>
          <w:szCs w:val="32"/>
          <w:lang w:val="en-US" w:eastAsia="zh-CN"/>
        </w:rPr>
        <w:t>用车调拨。市直行政事业单位因机构改革等原因需对公务用车进行调剂的，由市公车主管部门根据相关单位车辆编制、实有车辆、资产账等情况作出统筹使用安排。车辆接收单位自接到调剂使用车辆通知之日起5个工作日内，主动与车辆调</w:t>
      </w:r>
      <w:r>
        <w:rPr>
          <w:rFonts w:hint="eastAsia" w:ascii="仿宋_GB2312" w:hAnsi="仿宋_GB2312" w:eastAsia="仿宋_GB2312" w:cs="仿宋_GB2312"/>
          <w:sz w:val="32"/>
          <w:szCs w:val="32"/>
          <w:lang w:val="en-US" w:eastAsia="zh-CN"/>
        </w:rPr>
        <w:t>出单位对接办理车辆资产划转和过户手续。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其它中央国家省级机关调拨给市直机关部门的车辆纳入编制管理，不得在编外配备和使用车辆。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Times New Roman" w:hAnsi="Times New Roman" w:eastAsia="仿宋_GB2312" w:cs="Times New Roman"/>
          <w:b w:val="0"/>
          <w:bCs w:val="0"/>
          <w:color w:val="auto"/>
          <w:sz w:val="32"/>
          <w:szCs w:val="32"/>
          <w:lang w:val="en-US" w:eastAsia="zh-CN"/>
        </w:rPr>
        <w:t xml:space="preserve">  公务用车捐赠。市直行政事业单位，原则上不得接收企事业单位和个人赠送的车辆；公益性事业单位，确因工作需要接收捐赠的特种专业技术用车，需报市财政局批准后实施。</w:t>
      </w:r>
    </w:p>
    <w:p>
      <w:pPr>
        <w:pStyle w:val="6"/>
        <w:numPr>
          <w:ilvl w:val="0"/>
          <w:numId w:val="0"/>
        </w:numPr>
        <w:jc w:val="cente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第四章  公务用车处置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黑体" w:hAnsi="黑体" w:eastAsia="黑体" w:cs="黑体"/>
          <w:color w:val="auto"/>
          <w:highlight w:val="none"/>
          <w:lang w:val="en-US" w:eastAsia="zh-CN"/>
        </w:rPr>
        <w:t xml:space="preserve">  </w:t>
      </w:r>
      <w:r>
        <w:rPr>
          <w:rFonts w:hint="eastAsia" w:ascii="Times New Roman" w:hAnsi="Times New Roman" w:eastAsia="仿宋_GB2312" w:cs="Times New Roman"/>
          <w:b w:val="0"/>
          <w:bCs w:val="0"/>
          <w:color w:val="auto"/>
          <w:sz w:val="32"/>
          <w:szCs w:val="32"/>
          <w:lang w:val="en-US" w:eastAsia="zh-CN"/>
        </w:rPr>
        <w:t>公务用车处置方式主要包括报废、报损、无偿划转（调剂）、网络竞价拍卖等。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报废</w:t>
      </w:r>
      <w:r>
        <w:rPr>
          <w:rFonts w:hint="eastAsia" w:ascii="仿宋_GB2312" w:hAnsi="仿宋_GB2312" w:eastAsia="仿宋_GB2312" w:cs="仿宋_GB2312"/>
          <w:sz w:val="32"/>
          <w:szCs w:val="32"/>
          <w:lang w:val="en-US" w:eastAsia="zh-CN"/>
        </w:rPr>
        <w:t>是</w:t>
      </w:r>
      <w:r>
        <w:rPr>
          <w:rFonts w:hint="eastAsia" w:ascii="Times New Roman" w:hAnsi="Times New Roman" w:eastAsia="仿宋_GB2312" w:cs="Times New Roman"/>
          <w:b w:val="0"/>
          <w:bCs w:val="0"/>
          <w:color w:val="auto"/>
          <w:sz w:val="32"/>
          <w:szCs w:val="32"/>
          <w:lang w:val="en-US" w:eastAsia="zh-CN"/>
        </w:rPr>
        <w:t>指公务用车使用达到一定年限，经具有旧机动车技术性能鉴定资质的专业机构鉴定评估认定为可报废处置</w:t>
      </w:r>
      <w:r>
        <w:rPr>
          <w:rFonts w:hint="eastAsia" w:ascii="Times New Roman" w:hAnsi="Times New Roman" w:eastAsia="仿宋_GB2312" w:cs="Times New Roman"/>
          <w:b/>
          <w:bCs/>
          <w:color w:val="0000FF"/>
          <w:sz w:val="32"/>
          <w:szCs w:val="32"/>
          <w:lang w:val="en-US" w:eastAsia="zh-CN"/>
        </w:rPr>
        <w:t>，</w:t>
      </w:r>
      <w:r>
        <w:rPr>
          <w:rFonts w:hint="eastAsia" w:ascii="Times New Roman" w:hAnsi="Times New Roman" w:eastAsia="仿宋_GB2312" w:cs="Times New Roman"/>
          <w:b w:val="0"/>
          <w:bCs w:val="0"/>
          <w:color w:val="auto"/>
          <w:sz w:val="32"/>
          <w:szCs w:val="32"/>
          <w:lang w:val="en-US" w:eastAsia="zh-CN"/>
        </w:rPr>
        <w:t>经市公车主管部</w:t>
      </w:r>
      <w:r>
        <w:rPr>
          <w:rFonts w:hint="eastAsia" w:ascii="仿宋_GB2312" w:hAnsi="仿宋_GB2312" w:eastAsia="仿宋_GB2312" w:cs="仿宋_GB2312"/>
          <w:sz w:val="32"/>
          <w:szCs w:val="32"/>
          <w:lang w:val="en-US" w:eastAsia="zh-CN"/>
        </w:rPr>
        <w:t>门</w:t>
      </w:r>
      <w:r>
        <w:rPr>
          <w:rFonts w:hint="eastAsia" w:ascii="Times New Roman" w:hAnsi="Times New Roman" w:eastAsia="仿宋_GB2312" w:cs="Times New Roman"/>
          <w:b w:val="0"/>
          <w:bCs w:val="0"/>
          <w:color w:val="auto"/>
          <w:sz w:val="32"/>
          <w:szCs w:val="32"/>
          <w:lang w:val="en-US" w:eastAsia="zh-CN"/>
        </w:rPr>
        <w:t>批准，市财政局根据市公车主管部门审批意见核销车辆资产账进</w:t>
      </w:r>
      <w:r>
        <w:rPr>
          <w:rFonts w:hint="eastAsia" w:ascii="仿宋_GB2312" w:hAnsi="仿宋_GB2312" w:eastAsia="仿宋_GB2312" w:cs="仿宋_GB2312"/>
          <w:sz w:val="32"/>
          <w:szCs w:val="32"/>
          <w:lang w:val="en-US" w:eastAsia="zh-CN"/>
        </w:rPr>
        <w:t>行产权注销的行为。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报损</w:t>
      </w:r>
      <w:r>
        <w:rPr>
          <w:rFonts w:hint="eastAsia" w:ascii="仿宋_GB2312" w:hAnsi="仿宋_GB2312" w:eastAsia="仿宋_GB2312" w:cs="仿宋_GB2312"/>
          <w:sz w:val="32"/>
          <w:szCs w:val="32"/>
          <w:lang w:val="en-US" w:eastAsia="zh-CN"/>
        </w:rPr>
        <w:t>是指</w:t>
      </w:r>
      <w:r>
        <w:rPr>
          <w:rFonts w:hint="eastAsia" w:ascii="Times New Roman" w:hAnsi="Times New Roman" w:eastAsia="仿宋_GB2312" w:cs="Times New Roman"/>
          <w:b w:val="0"/>
          <w:bCs w:val="0"/>
          <w:color w:val="auto"/>
          <w:sz w:val="32"/>
          <w:szCs w:val="32"/>
          <w:lang w:val="en-US" w:eastAsia="zh-CN"/>
        </w:rPr>
        <w:t>由于主、客观原因导致公务用车被盗、丢失或其它历史原因造成有账无车的，经批准后必须按有关规定进行产权注销的行</w:t>
      </w:r>
      <w:r>
        <w:rPr>
          <w:rFonts w:hint="eastAsia" w:ascii="仿宋_GB2312" w:hAnsi="仿宋_GB2312" w:eastAsia="仿宋_GB2312" w:cs="仿宋_GB2312"/>
          <w:sz w:val="32"/>
          <w:szCs w:val="32"/>
          <w:lang w:val="en-US" w:eastAsia="zh-CN"/>
        </w:rPr>
        <w:t>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szCs w:val="32"/>
          <w:lang w:val="en-US" w:eastAsia="zh-CN"/>
        </w:rPr>
        <w:t>无偿划转</w:t>
      </w:r>
      <w:r>
        <w:rPr>
          <w:rFonts w:hint="eastAsia" w:ascii="Times New Roman" w:hAnsi="Times New Roman" w:eastAsia="仿宋_GB2312" w:cs="Times New Roman"/>
          <w:b w:val="0"/>
          <w:bCs w:val="0"/>
          <w:color w:val="auto"/>
          <w:sz w:val="32"/>
          <w:szCs w:val="32"/>
          <w:lang w:val="en-US" w:eastAsia="zh-CN"/>
        </w:rPr>
        <w:t>（调剂）是</w:t>
      </w:r>
      <w:r>
        <w:rPr>
          <w:rFonts w:hint="eastAsia" w:ascii="仿宋_GB2312" w:hAnsi="仿宋_GB2312" w:eastAsia="仿宋_GB2312" w:cs="仿宋_GB2312"/>
          <w:sz w:val="32"/>
          <w:szCs w:val="32"/>
          <w:lang w:val="en-US" w:eastAsia="zh-CN"/>
        </w:rPr>
        <w:t>指以无偿转让的方式变更公务用车资产所有权或使用权、占有权的行为。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网络竞价拍卖</w:t>
      </w:r>
      <w:r>
        <w:rPr>
          <w:rFonts w:hint="eastAsia" w:ascii="仿宋_GB2312" w:hAnsi="仿宋_GB2312" w:eastAsia="仿宋_GB2312" w:cs="仿宋_GB2312"/>
          <w:sz w:val="32"/>
          <w:szCs w:val="32"/>
          <w:lang w:val="en-US" w:eastAsia="zh-CN"/>
        </w:rPr>
        <w:t>是指经具有旧机动车技术性能鉴定资质的专业机构鉴定评估后，对认定具有交易价值的车辆实施网络竞价处置的行为。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Times New Roman" w:hAnsi="Times New Roman" w:eastAsia="仿宋_GB2312" w:cs="Times New Roman"/>
          <w:b w:val="0"/>
          <w:bCs w:val="0"/>
          <w:color w:val="auto"/>
          <w:sz w:val="32"/>
          <w:szCs w:val="32"/>
          <w:lang w:val="en-US" w:eastAsia="zh-CN"/>
        </w:rPr>
        <w:t xml:space="preserve">  公务用车报废处置遵循公开、公平、公正的原则，严格履</w:t>
      </w:r>
      <w:r>
        <w:rPr>
          <w:rFonts w:hint="eastAsia" w:ascii="仿宋_GB2312" w:hAnsi="仿宋_GB2312" w:eastAsia="仿宋_GB2312" w:cs="仿宋_GB2312"/>
          <w:sz w:val="32"/>
          <w:szCs w:val="32"/>
          <w:lang w:val="en-US" w:eastAsia="zh-CN"/>
        </w:rPr>
        <w:t>行审批手续，未经批准禁止擅自报废公务用车。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w:t>
      </w:r>
      <w:r>
        <w:rPr>
          <w:rFonts w:hint="eastAsia" w:ascii="Times New Roman" w:hAnsi="Times New Roman" w:eastAsia="仿宋_GB2312" w:cs="Times New Roman"/>
          <w:b w:val="0"/>
          <w:bCs w:val="0"/>
          <w:color w:val="auto"/>
          <w:sz w:val="32"/>
          <w:szCs w:val="32"/>
          <w:lang w:val="en-US" w:eastAsia="zh-CN"/>
        </w:rPr>
        <w:t>用车使用满8年以上的，能使用的应当继续使用；经鉴定确实无法继续使用或不能满足安全要求的可申请报废处置。因交通事</w:t>
      </w:r>
      <w:r>
        <w:rPr>
          <w:rFonts w:hint="eastAsia" w:ascii="仿宋_GB2312" w:hAnsi="仿宋_GB2312" w:eastAsia="仿宋_GB2312" w:cs="仿宋_GB2312"/>
          <w:sz w:val="32"/>
          <w:szCs w:val="32"/>
          <w:lang w:val="en-US" w:eastAsia="zh-CN"/>
        </w:rPr>
        <w:t>故或其它灾害造成车辆严重损毁需提前处置的据实确定。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sz w:val="32"/>
          <w:szCs w:val="32"/>
          <w:lang w:val="en-US" w:eastAsia="zh-CN"/>
        </w:rPr>
        <w:t xml:space="preserve">  公务用车报废处置按下列程序实施：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（一）车辆经具有旧机动车技术性能鉴定资质的专业机构鉴定评估认定为</w:t>
      </w:r>
      <w:r>
        <w:rPr>
          <w:rFonts w:hint="eastAsia" w:ascii="Times New Roman" w:hAnsi="Times New Roman" w:eastAsia="仿宋_GB2312" w:cs="Times New Roman"/>
          <w:b w:val="0"/>
          <w:bCs w:val="0"/>
          <w:color w:val="auto"/>
          <w:sz w:val="32"/>
          <w:szCs w:val="32"/>
          <w:lang w:val="en-US" w:eastAsia="zh-CN"/>
        </w:rPr>
        <w:t>可报废处置后，</w:t>
      </w:r>
      <w:r>
        <w:rPr>
          <w:rFonts w:hint="eastAsia" w:ascii="仿宋_GB2312" w:hAnsi="仿宋_GB2312" w:eastAsia="仿宋_GB2312" w:cs="仿宋_GB2312"/>
          <w:sz w:val="32"/>
          <w:szCs w:val="32"/>
          <w:lang w:val="en-US" w:eastAsia="zh-CN"/>
        </w:rPr>
        <w:t>使用单位根据鉴定结果提出处置申请，报行政主管部门审核；</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（二）行政主管部门提出处置意见后报市公车主管部门审批；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（三）市公车主管部门组织核实核查；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（四）市公车主管部门审核通过后，使用单位按照审批意见实施报废处置。车辆完成回收及注销登记后，在资产管理系统中对公务用车资产卡片进行报废处置，同时核销资产账务。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楷体" w:hAnsi="楷体" w:eastAsia="楷体" w:cs="楷体"/>
          <w:b/>
          <w:bCs/>
          <w:color w:val="auto"/>
          <w:sz w:val="32"/>
          <w:szCs w:val="32"/>
          <w:lang w:val="en-US" w:eastAsia="zh-CN"/>
        </w:rPr>
        <w:t xml:space="preserve"> </w:t>
      </w:r>
      <w:r>
        <w:rPr>
          <w:rFonts w:hint="eastAsia" w:ascii="仿宋_GB2312" w:hAnsi="仿宋_GB2312" w:eastAsia="仿宋_GB2312" w:cs="仿宋_GB2312"/>
          <w:sz w:val="32"/>
          <w:szCs w:val="32"/>
          <w:lang w:val="en-US" w:eastAsia="zh-CN"/>
        </w:rPr>
        <w:t xml:space="preserve"> 使用单位报送公务用车报废处置申请时，应当对所提供资料的真实性、完整性负责。行政主管部门审核本级及所属行政事业单位的公务用车报废处置工作。向市公车主管部门申请公务用车报废处置时需提供下列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（一）车辆所在单位处置公务用车申请；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（二）具有旧机动车技术性能鉴定资质的专业机构出具的鉴定评估报告（原件）；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（三）使用单位或行政主管部门处置公务用车的集体决策（会议纪要，加盖单位公章）；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（四）处置定编小汽车申报表（一式两份）；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（五）公务用车资产卡片（复印件加盖单位公章）；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（六）车辆照片、登记证、行驶证（含年审年检、环保监测）、保险单等（复印件加盖单位公章）。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sz w:val="32"/>
          <w:szCs w:val="32"/>
          <w:lang w:val="en-US" w:eastAsia="zh-CN"/>
        </w:rPr>
        <w:t xml:space="preserve">  公务用车实施分类处置。公务用车属报废处置的，自处置工作完成之日起，使用单位于5个工作日内将处置所得收入扣除相关税费后上缴市级国库；属于网络竞价处置的，由车辆权属单位按照本办法规定程序规范处置，处置所得收入扣除相关税费后全部上缴市级国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sz w:val="32"/>
          <w:szCs w:val="32"/>
          <w:lang w:val="en-US" w:eastAsia="zh-CN"/>
        </w:rPr>
        <w:t xml:space="preserve">  公务用车经批准报废的，使用单位应在10个工作日内交给具有专业资质的报废机动车回收公司处置，禁止以任何方式交易报废公务用车。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sz w:val="32"/>
          <w:szCs w:val="32"/>
          <w:lang w:val="en-US" w:eastAsia="zh-CN"/>
        </w:rPr>
        <w:t xml:space="preserve">  使用单位公务用车因被盗丢失或其他历史原因造成有账但无车等情况的做报损处置。申请报损处置时，使用单位应提交车辆购置相关资料、使用单位集体决策会议纪要复印件加盖单位印章等，经行政主管部门审核后报市公车主管部门审批，市财政局根据市公车主管部门审批意见核销车辆资产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sz w:val="32"/>
          <w:szCs w:val="32"/>
          <w:lang w:val="en-US" w:eastAsia="zh-CN"/>
        </w:rPr>
        <w:t xml:space="preserve">  市公车主管部门对本级公务用车实行统筹调剂。使用单位</w:t>
      </w:r>
      <w:r>
        <w:rPr>
          <w:rFonts w:hint="eastAsia" w:ascii="Times New Roman" w:hAnsi="Times New Roman" w:eastAsia="仿宋_GB2312" w:cs="Times New Roman"/>
          <w:b w:val="0"/>
          <w:bCs w:val="0"/>
          <w:color w:val="auto"/>
          <w:sz w:val="32"/>
          <w:szCs w:val="32"/>
          <w:lang w:val="en-US" w:eastAsia="zh-CN"/>
        </w:rPr>
        <w:t>出现公务用车空缺且需配置时，由市公车主管部门根据相关单位车辆编制、实有车辆等情况作出统筹调剂使用安排</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sz w:val="32"/>
          <w:szCs w:val="32"/>
          <w:lang w:val="en-US" w:eastAsia="zh-CN"/>
        </w:rPr>
        <w:t>自收</w:t>
      </w:r>
      <w:r>
        <w:rPr>
          <w:rFonts w:hint="eastAsia" w:ascii="Times New Roman" w:hAnsi="Times New Roman" w:eastAsia="仿宋_GB2312" w:cs="Times New Roman"/>
          <w:b w:val="0"/>
          <w:bCs w:val="0"/>
          <w:color w:val="auto"/>
          <w:sz w:val="32"/>
          <w:szCs w:val="32"/>
          <w:lang w:val="en-US" w:eastAsia="zh-CN"/>
        </w:rPr>
        <w:t>到车辆调剂使用有关通知文件后</w:t>
      </w:r>
      <w:r>
        <w:rPr>
          <w:rFonts w:hint="eastAsia" w:ascii="Times New Roman" w:hAnsi="Times New Roman" w:eastAsia="仿宋_GB2312" w:cs="Times New Roman"/>
          <w:b w:val="0"/>
          <w:bCs w:val="0"/>
          <w:color w:val="0000FF"/>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原车辆使用单位应当在5个工作日内备齐车辆使用登记证书、行驶证、年审年检、环保监测、保险单等相关资料，主动配合接收单位做好车辆过户事宜。出现保险、年审已过期或即将过期（1个月内）以及交通违章等情况的，由原车辆使用单位负责完善手续。</w:t>
      </w:r>
    </w:p>
    <w:p>
      <w:pPr>
        <w:pStyle w:val="6"/>
        <w:numPr>
          <w:ilvl w:val="0"/>
          <w:numId w:val="0"/>
        </w:numPr>
        <w:jc w:val="center"/>
        <w:rPr>
          <w:rFonts w:hint="eastAsia" w:ascii="黑体" w:hAnsi="黑体" w:eastAsia="黑体" w:cs="黑体"/>
          <w:color w:val="auto"/>
          <w:highlight w:val="none"/>
          <w:lang w:val="en-US" w:eastAsia="zh-CN"/>
        </w:rPr>
      </w:pPr>
      <w:r>
        <w:rPr>
          <w:rFonts w:hint="eastAsia" w:ascii="黑体" w:hAnsi="黑体" w:eastAsia="黑体" w:cs="黑体"/>
          <w:b w:val="0"/>
          <w:bCs/>
          <w:color w:val="auto"/>
          <w:highlight w:val="none"/>
          <w:lang w:val="en-US" w:eastAsia="zh-CN"/>
        </w:rPr>
        <w:t>第五章  公务用车信息管理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第二十七条 </w:t>
      </w:r>
      <w:r>
        <w:rPr>
          <w:rFonts w:hint="eastAsia" w:ascii="Times New Roman" w:hAnsi="Times New Roman" w:eastAsia="仿宋_GB2312" w:cs="Times New Roman"/>
          <w:b w:val="0"/>
          <w:bCs w:val="0"/>
          <w:color w:val="auto"/>
          <w:sz w:val="32"/>
          <w:szCs w:val="32"/>
          <w:lang w:val="en-US" w:eastAsia="zh-CN"/>
        </w:rPr>
        <w:t xml:space="preserve"> 公务用车使用单位应加强公务用车信息管理，新增公务用车或公务用车发生车牌号更换、使用权变更（注销）及报废等情形的，应分别在公车平台和资产管理系统上及时更新车辆</w:t>
      </w:r>
      <w:r>
        <w:rPr>
          <w:rFonts w:hint="eastAsia" w:ascii="仿宋_GB2312" w:hAnsi="仿宋_GB2312" w:eastAsia="仿宋_GB2312" w:cs="仿宋_GB2312"/>
          <w:sz w:val="32"/>
          <w:szCs w:val="32"/>
          <w:lang w:val="en-US" w:eastAsia="zh-CN"/>
        </w:rPr>
        <w:t>信息。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Times New Roman" w:hAnsi="Times New Roman" w:eastAsia="仿宋_GB2312" w:cs="Times New Roman"/>
          <w:b w:val="0"/>
          <w:bCs w:val="0"/>
          <w:color w:val="auto"/>
          <w:sz w:val="32"/>
          <w:szCs w:val="32"/>
          <w:lang w:val="en-US" w:eastAsia="zh-CN"/>
        </w:rPr>
        <w:t xml:space="preserve">  公务用车划转、报废、报损和网络竞价处置的，使用单位自收到市公车主管部门批复、无偿划转（调剂）公务用车通知、取得旧机动车回收机构的处置回执、报损公务用车通知等材料之日起，必须在5个工作日内分别在公车平台和资产管理系统上及时办理登记、划转、核销等资产手续，并上传批复文书等资料作为审核依据。有上缴公务用车处置收入的，要在上缴收入后的5个工作日内在资产管理系统上办理资产核销手续，并上传批复文书</w:t>
      </w:r>
      <w:r>
        <w:rPr>
          <w:rFonts w:hint="eastAsia" w:ascii="仿宋_GB2312" w:hAnsi="仿宋_GB2312" w:eastAsia="仿宋_GB2312" w:cs="仿宋_GB2312"/>
          <w:sz w:val="32"/>
          <w:szCs w:val="32"/>
          <w:lang w:val="en-US" w:eastAsia="zh-CN"/>
        </w:rPr>
        <w:t>及非税收缴款书作为审核依据。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Times New Roman" w:hAnsi="Times New Roman" w:eastAsia="仿宋_GB2312" w:cs="Times New Roman"/>
          <w:b w:val="0"/>
          <w:bCs w:val="0"/>
          <w:color w:val="auto"/>
          <w:sz w:val="32"/>
          <w:szCs w:val="32"/>
          <w:lang w:val="en-US" w:eastAsia="zh-CN"/>
        </w:rPr>
        <w:t xml:space="preserve">  市公车主管部门在收到使用单位完成车辆资产录入、注销等回执后，将相关信息提交公车平台技术管理人员进行信息更新。确保公车平台数据与使用单位公务用车账实相符、与资产管理系统台</w:t>
      </w:r>
      <w:r>
        <w:rPr>
          <w:rFonts w:hint="eastAsia" w:ascii="仿宋_GB2312" w:hAnsi="仿宋_GB2312" w:eastAsia="仿宋_GB2312" w:cs="仿宋_GB2312"/>
          <w:sz w:val="32"/>
          <w:szCs w:val="32"/>
          <w:lang w:val="en-US" w:eastAsia="zh-CN"/>
        </w:rPr>
        <w:t>账账账相符。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Times New Roman" w:hAnsi="Times New Roman" w:eastAsia="仿宋_GB2312" w:cs="Times New Roman"/>
          <w:b w:val="0"/>
          <w:bCs w:val="0"/>
          <w:color w:val="auto"/>
          <w:sz w:val="32"/>
          <w:szCs w:val="32"/>
          <w:lang w:val="en-US" w:eastAsia="zh-CN"/>
        </w:rPr>
        <w:t xml:space="preserve">  上级部门通过其它形式配备的公务用车必须纳入编制管理。使用的单位不得超编制接收上级部门配备的公务用车，按</w:t>
      </w:r>
      <w:r>
        <w:rPr>
          <w:rFonts w:hint="eastAsia" w:ascii="仿宋_GB2312" w:hAnsi="仿宋_GB2312" w:eastAsia="仿宋_GB2312" w:cs="仿宋_GB2312"/>
          <w:sz w:val="32"/>
          <w:szCs w:val="32"/>
          <w:lang w:val="en-US" w:eastAsia="zh-CN"/>
        </w:rPr>
        <w:t>规定接收的公务用车，按照本办法第十七条规定办理。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Times New Roman" w:hAnsi="Times New Roman" w:eastAsia="仿宋_GB2312" w:cs="Times New Roman"/>
          <w:b w:val="0"/>
          <w:bCs w:val="0"/>
          <w:color w:val="auto"/>
          <w:sz w:val="32"/>
          <w:szCs w:val="32"/>
          <w:lang w:val="en-US" w:eastAsia="zh-CN"/>
        </w:rPr>
        <w:t xml:space="preserve">  使用单位产生的公务用车维修保养、保险、加油充电、停车等运行维护费用，应当在当日录入公车平台。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第三十二条 </w:t>
      </w:r>
      <w:r>
        <w:rPr>
          <w:rFonts w:hint="eastAsia" w:ascii="Times New Roman" w:hAnsi="Times New Roman" w:eastAsia="仿宋_GB2312" w:cs="Times New Roman"/>
          <w:b w:val="0"/>
          <w:bCs w:val="0"/>
          <w:color w:val="auto"/>
          <w:sz w:val="32"/>
          <w:szCs w:val="32"/>
          <w:lang w:val="en-US" w:eastAsia="zh-CN"/>
        </w:rPr>
        <w:t xml:space="preserve"> 强化公务用车信息管理。除涉及国家安全、侦查办案和其他有保密要求的特殊工作用车外，其他公务用车均应录入公车平台和资产管理系统，严禁漏填漏报。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第三十三条</w:t>
      </w:r>
      <w:r>
        <w:rPr>
          <w:rFonts w:hint="eastAsia" w:ascii="Times New Roman" w:hAnsi="Times New Roman" w:eastAsia="仿宋_GB2312" w:cs="Times New Roman"/>
          <w:b w:val="0"/>
          <w:bCs w:val="0"/>
          <w:color w:val="auto"/>
          <w:sz w:val="32"/>
          <w:szCs w:val="32"/>
          <w:lang w:val="en-US" w:eastAsia="zh-CN"/>
        </w:rPr>
        <w:t xml:space="preserve">  使用单位应加强对公车平台和资产管理系统关于公务用车信息的管理，专人负责，按时检查核实。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市公车主管部门加强公车平台信息维护，确保数据准确，不定期对使用单位的公务用车信息录入情况进行抽查核实，发现信息严重不符的予以通报批评，责令纠正。</w:t>
      </w:r>
    </w:p>
    <w:p>
      <w:pPr>
        <w:pStyle w:val="6"/>
        <w:numPr>
          <w:ilvl w:val="0"/>
          <w:numId w:val="0"/>
        </w:numPr>
        <w:jc w:val="center"/>
        <w:rPr>
          <w:rFonts w:hint="default"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第六章  监督问责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第三十四条</w:t>
      </w:r>
      <w:r>
        <w:rPr>
          <w:rFonts w:hint="eastAsia" w:ascii="Times New Roman" w:hAnsi="Times New Roman" w:eastAsia="仿宋_GB2312" w:cs="Times New Roman"/>
          <w:b w:val="0"/>
          <w:bCs w:val="0"/>
          <w:color w:val="auto"/>
          <w:sz w:val="32"/>
          <w:szCs w:val="32"/>
          <w:lang w:val="en-US" w:eastAsia="zh-CN"/>
        </w:rPr>
        <w:t xml:space="preserve">  公务用车资产实行年报制度，每年1月15日前，使用单位将上年度公务用车编制数、实有数、公务用车资产张数等情况报市公车主管部门，市公车主管部门汇总后报市财政局核对公务用车数据。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0000FF"/>
          <w:sz w:val="32"/>
          <w:szCs w:val="32"/>
          <w:lang w:val="en-US" w:eastAsia="zh-CN"/>
        </w:rPr>
      </w:pPr>
      <w:r>
        <w:rPr>
          <w:rFonts w:hint="eastAsia" w:ascii="仿宋_GB2312" w:hAnsi="仿宋_GB2312" w:eastAsia="仿宋_GB2312" w:cs="仿宋_GB2312"/>
          <w:b/>
          <w:bCs/>
          <w:color w:val="auto"/>
          <w:sz w:val="32"/>
          <w:szCs w:val="32"/>
          <w:lang w:val="en-US" w:eastAsia="zh-CN"/>
        </w:rPr>
        <w:t>第三十五条</w:t>
      </w:r>
      <w:r>
        <w:rPr>
          <w:rFonts w:hint="eastAsia" w:ascii="Times New Roman" w:hAnsi="Times New Roman" w:eastAsia="仿宋_GB2312" w:cs="Times New Roman"/>
          <w:b w:val="0"/>
          <w:bCs w:val="0"/>
          <w:color w:val="auto"/>
          <w:sz w:val="32"/>
          <w:szCs w:val="32"/>
          <w:lang w:val="en-US" w:eastAsia="zh-CN"/>
        </w:rPr>
        <w:t xml:space="preserve">  市公车主管部门加强公务用车信息管理，以公车平台的数据为基础，实现与资产管理系统公务用车信息共享，确保公务用车账账相符。市公车主管部门与市财政局建立定期沟通机制，每年核对一次公务用车编制和车辆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第三十六条 </w:t>
      </w:r>
      <w:r>
        <w:rPr>
          <w:rFonts w:hint="eastAsia" w:ascii="Times New Roman" w:hAnsi="Times New Roman" w:eastAsia="仿宋_GB2312" w:cs="Times New Roman"/>
          <w:b w:val="0"/>
          <w:bCs w:val="0"/>
          <w:color w:val="auto"/>
          <w:sz w:val="32"/>
          <w:szCs w:val="32"/>
          <w:lang w:val="en-US" w:eastAsia="zh-CN"/>
        </w:rPr>
        <w:t xml:space="preserve"> 行政事业单位应严格执行公务用车管理的各项规定，将公务用车配备更新、使用、处置等情况纳入内部审计、政务公开和政务诚信建设范围，接受社会监督。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市财政局应加强对公务用车监督管理情况的监督检查，依规处理、督促整改公务用车资产管理中的入（销）账不及时、账外资产等问题。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市公车主管部门应加强对本级各单位公务用车编制、配备更新、使用、处置及核销账务等情况的监督检查，定期通报或者公示相关情况。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第三十七条</w:t>
      </w:r>
      <w:r>
        <w:rPr>
          <w:rFonts w:hint="eastAsia" w:ascii="Times New Roman" w:hAnsi="Times New Roman" w:eastAsia="仿宋_GB2312" w:cs="Times New Roman"/>
          <w:b/>
          <w:bCs/>
          <w:color w:val="0000FF"/>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使用单位有下列情形之一的，将追究相关人员责任：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（一）不按规定要求管理本单位公务用车造成公务用车资产超过两个月不入（销）账的；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（二）隐瞒公务用车资产不报的；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（三）未经批准擅自接收捐赠车辆的；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（四）未经批准擅自处置公务用车资产的。</w:t>
      </w:r>
    </w:p>
    <w:p>
      <w:pPr>
        <w:pStyle w:val="6"/>
        <w:numPr>
          <w:ilvl w:val="0"/>
          <w:numId w:val="0"/>
        </w:numPr>
        <w:jc w:val="cente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第三十八条</w:t>
      </w:r>
      <w:r>
        <w:rPr>
          <w:rFonts w:hint="eastAsia" w:ascii="Times New Roman" w:hAnsi="Times New Roman" w:eastAsia="仿宋_GB2312" w:cs="Times New Roman"/>
          <w:b w:val="0"/>
          <w:bCs w:val="0"/>
          <w:color w:val="auto"/>
          <w:sz w:val="32"/>
          <w:szCs w:val="32"/>
          <w:lang w:val="en-US" w:eastAsia="zh-CN"/>
        </w:rPr>
        <w:t xml:space="preserve">  本办法由市发展改革委负责解释。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1"/>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第三十九条</w:t>
      </w:r>
      <w:r>
        <w:rPr>
          <w:rFonts w:hint="eastAsia" w:ascii="Times New Roman" w:hAnsi="Times New Roman" w:eastAsia="仿宋_GB2312" w:cs="Times New Roman"/>
          <w:b w:val="0"/>
          <w:bCs w:val="0"/>
          <w:color w:val="auto"/>
          <w:sz w:val="32"/>
          <w:szCs w:val="32"/>
          <w:lang w:val="en-US" w:eastAsia="zh-CN"/>
        </w:rPr>
        <w:t xml:space="preserve">  本办法自印发之日起施行。</w:t>
      </w:r>
    </w:p>
    <w:p>
      <w:pPr>
        <w:numPr>
          <w:ilvl w:val="0"/>
          <w:numId w:val="0"/>
        </w:numPr>
        <w:ind w:firstLine="640"/>
        <w:rPr>
          <w:rFonts w:hint="eastAsia"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附件：1.公务用车资产清理中特殊情形的处置方法</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2.处置定编小汽车申报表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1"/>
        <w:jc w:val="both"/>
        <w:textAlignment w:val="auto"/>
        <w:rPr>
          <w:rFonts w:hint="default" w:ascii="Times New Roman" w:hAnsi="Times New Roman" w:eastAsia="仿宋_GB2312" w:cs="Times New Roman"/>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jc w:val="both"/>
        <w:textAlignment w:val="auto"/>
        <w:rPr>
          <w:rFonts w:hint="default" w:ascii="Times New Roman" w:hAnsi="Times New Roman" w:eastAsia="仿宋_GB2312" w:cs="Times New Roman"/>
          <w:b w:val="0"/>
          <w:bCs w:val="0"/>
          <w:color w:val="auto"/>
          <w:sz w:val="32"/>
          <w:szCs w:val="32"/>
          <w:lang w:val="en-US" w:eastAsia="zh-CN"/>
        </w:rPr>
      </w:pPr>
    </w:p>
    <w:p>
      <w:pPr>
        <w:pStyle w:val="6"/>
        <w:numPr>
          <w:ilvl w:val="0"/>
          <w:numId w:val="0"/>
        </w:numPr>
        <w:jc w:val="both"/>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公务用车资产清理中特殊情形的处置方法</w:t>
      </w:r>
    </w:p>
    <w:p>
      <w:pPr>
        <w:numPr>
          <w:ilvl w:val="0"/>
          <w:numId w:val="0"/>
        </w:num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为做好公务用车资产清理工作，妥善解决公务用车历史资产账处置问题，根据海南省机关事务管理局《公务用车资产清理中几种情形的处置方法》（琼事管发</w:t>
      </w:r>
      <w:r>
        <w:rPr>
          <w:rFonts w:hint="default" w:ascii="Times New Roman" w:hAnsi="Times New Roman" w:eastAsia="仿宋_GB2312" w:cs="Times New Roman"/>
          <w:b w:val="0"/>
          <w:bCs w:val="0"/>
          <w:kern w:val="2"/>
          <w:sz w:val="32"/>
          <w:szCs w:val="32"/>
          <w:highlight w:val="none"/>
          <w:lang w:val="en-US" w:eastAsia="zh-CN" w:bidi="ar-SA"/>
        </w:rPr>
        <w:t>〔2021〕</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号），结合三亚实际制定此处置方法。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一、资产卡片信息录入错误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属资产卡片信息录入错误的，据实在预算一体化系统资产管理模块中进行资产卡片属性变动修改即可，具体如：</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不属于车辆，只与车辆相关，资产信息录入错误的。</w:t>
      </w:r>
      <w:r>
        <w:rPr>
          <w:rFonts w:hint="eastAsia" w:ascii="仿宋_GB2312" w:hAnsi="仿宋_GB2312" w:eastAsia="仿宋_GB2312" w:cs="仿宋_GB2312"/>
          <w:sz w:val="32"/>
          <w:szCs w:val="32"/>
          <w:lang w:val="en-US" w:eastAsia="zh-CN"/>
        </w:rPr>
        <w:t>如导航仪、保险费、改装费、购置税等；</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不属于公务用车的其它交通工具。</w:t>
      </w:r>
      <w:r>
        <w:rPr>
          <w:rFonts w:hint="eastAsia" w:ascii="仿宋_GB2312" w:hAnsi="仿宋_GB2312" w:eastAsia="仿宋_GB2312" w:cs="仿宋_GB2312"/>
          <w:sz w:val="32"/>
          <w:szCs w:val="32"/>
          <w:lang w:val="en-US" w:eastAsia="zh-CN"/>
        </w:rPr>
        <w:t>如摩托车、电瓶车、无轨电动巡逻车、拖拉机、公路系统养护作业车等；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w:t>
      </w:r>
      <w:r>
        <w:rPr>
          <w:rFonts w:hint="eastAsia" w:ascii="楷体_GB2312" w:hAnsi="楷体_GB2312" w:eastAsia="楷体_GB2312" w:cs="楷体_GB2312"/>
          <w:sz w:val="32"/>
          <w:szCs w:val="32"/>
          <w:lang w:val="en-US" w:eastAsia="zh-CN"/>
        </w:rPr>
        <w:t>车辆录错资产分类，录成专用设备。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二、有账无物或有物无账等历史车辆资产处置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（一）有账无物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1.因年代久远，车辆无购置信息、处置信息，只有简单的账目，已无车辆实物。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处置办法：由车辆使用单位收集相关经办人、证人、证言及车管部门提供的车辆信息等证据，并形成文字材料，由使用单位集体会议研究做出车辆处置决定，经行政主管部门做出明确的审核处置意见并报</w:t>
      </w:r>
      <w:r>
        <w:rPr>
          <w:rFonts w:hint="eastAsia" w:ascii="Times New Roman" w:hAnsi="Times New Roman" w:eastAsia="仿宋_GB2312" w:cs="Times New Roman"/>
          <w:b w:val="0"/>
          <w:bCs w:val="0"/>
          <w:color w:val="auto"/>
          <w:sz w:val="32"/>
          <w:szCs w:val="32"/>
          <w:lang w:val="en-US" w:eastAsia="zh-CN"/>
        </w:rPr>
        <w:t>市公车主管部门审核通过后，</w:t>
      </w:r>
      <w:r>
        <w:rPr>
          <w:rFonts w:hint="eastAsia" w:ascii="仿宋_GB2312" w:hAnsi="仿宋_GB2312" w:eastAsia="仿宋_GB2312" w:cs="仿宋_GB2312"/>
          <w:sz w:val="32"/>
          <w:szCs w:val="32"/>
          <w:lang w:val="en-US" w:eastAsia="zh-CN"/>
        </w:rPr>
        <w:t>使用单位将审批文件上传</w:t>
      </w:r>
      <w:r>
        <w:rPr>
          <w:rFonts w:hint="eastAsia" w:ascii="Times New Roman" w:hAnsi="Times New Roman" w:eastAsia="仿宋_GB2312" w:cs="Times New Roman"/>
          <w:b w:val="0"/>
          <w:bCs w:val="0"/>
          <w:color w:val="auto"/>
          <w:sz w:val="32"/>
          <w:szCs w:val="32"/>
          <w:lang w:val="en-US" w:eastAsia="zh-CN"/>
        </w:rPr>
        <w:t>至资产管理系统</w:t>
      </w:r>
      <w:r>
        <w:rPr>
          <w:rFonts w:hint="eastAsia" w:ascii="仿宋_GB2312" w:hAnsi="仿宋_GB2312" w:eastAsia="仿宋_GB2312" w:cs="仿宋_GB2312"/>
          <w:sz w:val="32"/>
          <w:szCs w:val="32"/>
          <w:lang w:val="en-US" w:eastAsia="zh-CN"/>
        </w:rPr>
        <w:t>作为核销资产的依据。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color w:val="auto"/>
          <w:sz w:val="32"/>
          <w:szCs w:val="32"/>
          <w:lang w:val="en-US" w:eastAsia="zh-CN"/>
        </w:rPr>
        <w:t>车辆已移交地方车辆主管部门处置，但无法找到相关处置文件。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处置办法：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（1）由使用单位与车辆主管部门协调沟通，尽量收集相关会议纪要、车辆移交等相关资料后按规定销账；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（2）确实无法收集到相关材料的，参照上述“（一）1.”的办法处置。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3.难以提供车辆处置手续和残值证明的，既无车辆实物、也无处置收入。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处置办法：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（1）车辆使用单位尽量查找收集相关资料，依据资料实施销账；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（2）确实无法收集到相关资料的，参照上述“（一）1.”的办法处置。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（二）有物无账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因年代久远（不少于15年）的账外车辆，但实物车辆已经专业机构鉴定评估为报废，无法销账。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处置办法：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1.使用单位需证明产权归属，以报废残值先做车辆资产原值盘盈入账，</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sz w:val="32"/>
          <w:szCs w:val="32"/>
          <w:lang w:val="en-US" w:eastAsia="zh-CN"/>
        </w:rPr>
        <w:t>市公车主管部门</w:t>
      </w:r>
      <w:r>
        <w:rPr>
          <w:rFonts w:hint="eastAsia" w:ascii="Times New Roman" w:hAnsi="Times New Roman" w:eastAsia="仿宋_GB2312" w:cs="Times New Roman"/>
          <w:b w:val="0"/>
          <w:bCs w:val="0"/>
          <w:color w:val="auto"/>
          <w:sz w:val="32"/>
          <w:szCs w:val="32"/>
          <w:lang w:val="en-US" w:eastAsia="zh-CN"/>
        </w:rPr>
        <w:t>审核通过后</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在资产管理系统办理车辆报废手续。办理报废手续时，需上传市公车主管部门审批文件及残值收入上缴凭证作为审核依据。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2.车辆使用单位尽量查找相关资料，依据资料按照规定销账。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3.确实找不到相关资料的，参照上述“（一）1.”的办法处置。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（三）账物无法核对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因年代久远（不少于15年），车辆已锈蚀严重，无车辆档案、无车架号、无行驶证等资料，无法报废，也因资产账登记信息不全无法与资产账进行核对。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处置办法：确实无任何资料的，参照上述“（一）1.”的办法处置。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三、编制外车辆资产处置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编制外车辆处置参照</w:t>
      </w:r>
      <w:r>
        <w:rPr>
          <w:rFonts w:hint="eastAsia" w:ascii="Times New Roman" w:hAnsi="Times New Roman" w:eastAsia="仿宋_GB2312" w:cs="Times New Roman"/>
          <w:b w:val="0"/>
          <w:bCs w:val="0"/>
          <w:color w:val="auto"/>
          <w:sz w:val="32"/>
          <w:szCs w:val="32"/>
          <w:lang w:val="en-US" w:eastAsia="zh-CN"/>
        </w:rPr>
        <w:t>《三亚市市直行政事业性国有资产管理暂行办法》（三财规</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号</w:t>
      </w:r>
      <w:r>
        <w:rPr>
          <w:rFonts w:hint="eastAsia" w:ascii="Times New Roman" w:hAnsi="Times New Roman" w:eastAsia="仿宋_GB2312" w:cs="Times New Roman"/>
          <w:b w:val="0"/>
          <w:bCs w:val="0"/>
          <w:color w:val="auto"/>
          <w:sz w:val="32"/>
          <w:szCs w:val="32"/>
          <w:lang w:val="en-US" w:eastAsia="zh-CN"/>
        </w:rPr>
        <w:t>）关于固定资产处置进行。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bCs/>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val="0"/>
          <w:bCs w:val="0"/>
          <w:color w:val="auto"/>
          <w:sz w:val="32"/>
          <w:szCs w:val="32"/>
          <w:lang w:val="en-US" w:eastAsia="zh-CN"/>
        </w:rPr>
      </w:pPr>
    </w:p>
    <w:p>
      <w:pPr>
        <w:jc w:val="both"/>
        <w:rPr>
          <w:rFonts w:hint="eastAsia" w:ascii="黑体" w:hAnsi="黑体" w:eastAsia="黑体" w:cs="黑体"/>
          <w:b w:val="0"/>
          <w:bCs/>
          <w:color w:val="000000"/>
          <w:sz w:val="32"/>
          <w:szCs w:val="32"/>
          <w:lang w:eastAsia="zh-CN"/>
        </w:rPr>
      </w:pPr>
    </w:p>
    <w:p>
      <w:pPr>
        <w:jc w:val="both"/>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2</w:t>
      </w:r>
    </w:p>
    <w:p>
      <w:pPr>
        <w:jc w:val="center"/>
        <w:rPr>
          <w:rFonts w:ascii="宋体" w:hAnsi="宋体"/>
          <w:b/>
          <w:color w:val="000000"/>
          <w:sz w:val="36"/>
          <w:szCs w:val="36"/>
        </w:rPr>
      </w:pPr>
      <w:r>
        <w:rPr>
          <w:rFonts w:hint="eastAsia" w:ascii="宋体" w:hAnsi="宋体"/>
          <w:b/>
          <w:color w:val="000000"/>
          <w:sz w:val="36"/>
          <w:szCs w:val="36"/>
          <w:lang w:eastAsia="zh-CN"/>
        </w:rPr>
        <w:t>处置</w:t>
      </w:r>
      <w:r>
        <w:rPr>
          <w:rFonts w:hint="eastAsia" w:ascii="宋体" w:hAnsi="宋体"/>
          <w:b/>
          <w:color w:val="000000"/>
          <w:sz w:val="36"/>
          <w:szCs w:val="36"/>
        </w:rPr>
        <w:t>定编小汽车申报表</w:t>
      </w:r>
    </w:p>
    <w:p>
      <w:pPr>
        <w:rPr>
          <w:rFonts w:hint="eastAsia" w:ascii="仿宋_GB2312" w:hAnsi="宋体" w:eastAsia="仿宋_GB2312"/>
          <w:color w:val="000000"/>
          <w:sz w:val="24"/>
        </w:rPr>
      </w:pPr>
    </w:p>
    <w:p>
      <w:pPr>
        <w:spacing w:after="156" w:afterLines="50"/>
        <w:ind w:firstLine="240" w:firstLineChars="100"/>
        <w:rPr>
          <w:rFonts w:hint="eastAsia" w:ascii="仿宋_GB2312" w:hAnsi="宋体" w:eastAsia="仿宋_GB2312"/>
          <w:color w:val="000000"/>
          <w:sz w:val="24"/>
          <w:lang w:eastAsia="zh-CN"/>
        </w:rPr>
      </w:pPr>
      <w:r>
        <w:rPr>
          <w:rFonts w:hint="eastAsia" w:ascii="仿宋_GB2312" w:hAnsi="宋体" w:eastAsia="仿宋_GB2312"/>
          <w:color w:val="000000"/>
          <w:sz w:val="24"/>
        </w:rPr>
        <w:t>单位：</w:t>
      </w:r>
      <w:r>
        <w:rPr>
          <w:rFonts w:hint="eastAsia" w:ascii="仿宋_GB2312" w:hAnsi="宋体" w:eastAsia="仿宋_GB2312"/>
          <w:color w:val="000000"/>
          <w:sz w:val="24"/>
          <w:lang w:eastAsia="zh-CN"/>
        </w:rPr>
        <w:t>（申请单位）</w:t>
      </w:r>
    </w:p>
    <w:tbl>
      <w:tblPr>
        <w:tblStyle w:val="7"/>
        <w:tblW w:w="903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90"/>
        <w:gridCol w:w="245"/>
        <w:gridCol w:w="94"/>
        <w:gridCol w:w="230"/>
        <w:gridCol w:w="504"/>
        <w:gridCol w:w="1087"/>
        <w:gridCol w:w="1095"/>
        <w:gridCol w:w="1317"/>
        <w:gridCol w:w="108"/>
        <w:gridCol w:w="404"/>
        <w:gridCol w:w="684"/>
        <w:gridCol w:w="237"/>
        <w:gridCol w:w="850"/>
        <w:gridCol w:w="10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35" w:hRule="atLeast"/>
          <w:jc w:val="center"/>
        </w:trPr>
        <w:tc>
          <w:tcPr>
            <w:tcW w:w="1429" w:type="dxa"/>
            <w:gridSpan w:val="3"/>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 xml:space="preserve">单 </w:t>
            </w:r>
            <w:r>
              <w:rPr>
                <w:rFonts w:ascii="宋体" w:cs="宋体"/>
                <w:color w:val="000000"/>
                <w:kern w:val="0"/>
                <w:sz w:val="24"/>
              </w:rPr>
              <w:t xml:space="preserve"> </w:t>
            </w:r>
            <w:r>
              <w:rPr>
                <w:rFonts w:hint="eastAsia" w:ascii="宋体" w:cs="宋体"/>
                <w:color w:val="000000"/>
                <w:kern w:val="0"/>
                <w:sz w:val="24"/>
              </w:rPr>
              <w:t>位</w:t>
            </w:r>
          </w:p>
          <w:p>
            <w:pPr>
              <w:autoSpaceDE w:val="0"/>
              <w:autoSpaceDN w:val="0"/>
              <w:jc w:val="center"/>
              <w:rPr>
                <w:rFonts w:ascii="宋体" w:cs="宋体"/>
                <w:color w:val="000000"/>
                <w:kern w:val="0"/>
                <w:sz w:val="24"/>
              </w:rPr>
            </w:pPr>
            <w:r>
              <w:rPr>
                <w:rFonts w:hint="eastAsia" w:ascii="宋体" w:cs="宋体"/>
                <w:color w:val="000000"/>
                <w:kern w:val="0"/>
                <w:sz w:val="24"/>
              </w:rPr>
              <w:t>名  称</w:t>
            </w:r>
          </w:p>
        </w:tc>
        <w:tc>
          <w:tcPr>
            <w:tcW w:w="4233" w:type="dxa"/>
            <w:gridSpan w:val="5"/>
            <w:noWrap w:val="0"/>
            <w:vAlign w:val="center"/>
          </w:tcPr>
          <w:p>
            <w:pPr>
              <w:autoSpaceDE w:val="0"/>
              <w:autoSpaceDN w:val="0"/>
              <w:jc w:val="center"/>
              <w:rPr>
                <w:rFonts w:hint="default" w:eastAsia="宋体"/>
                <w:kern w:val="0"/>
                <w:sz w:val="24"/>
                <w:lang w:val="en-US" w:eastAsia="zh-CN"/>
              </w:rPr>
            </w:pPr>
          </w:p>
        </w:tc>
        <w:tc>
          <w:tcPr>
            <w:tcW w:w="1433" w:type="dxa"/>
            <w:gridSpan w:val="4"/>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单</w:t>
            </w:r>
            <w:r>
              <w:rPr>
                <w:rFonts w:ascii="宋体" w:cs="宋体"/>
                <w:color w:val="000000"/>
                <w:kern w:val="0"/>
                <w:sz w:val="24"/>
              </w:rPr>
              <w:t xml:space="preserve">  </w:t>
            </w:r>
            <w:r>
              <w:rPr>
                <w:rFonts w:hint="eastAsia" w:ascii="宋体" w:cs="宋体"/>
                <w:color w:val="000000"/>
                <w:kern w:val="0"/>
                <w:sz w:val="24"/>
              </w:rPr>
              <w:t>位</w:t>
            </w:r>
          </w:p>
          <w:p>
            <w:pPr>
              <w:autoSpaceDE w:val="0"/>
              <w:autoSpaceDN w:val="0"/>
              <w:jc w:val="center"/>
              <w:rPr>
                <w:rFonts w:ascii="宋体" w:cs="宋体"/>
                <w:color w:val="000000"/>
                <w:kern w:val="0"/>
                <w:sz w:val="24"/>
              </w:rPr>
            </w:pPr>
            <w:r>
              <w:rPr>
                <w:rFonts w:hint="eastAsia" w:ascii="宋体" w:cs="宋体"/>
                <w:color w:val="000000"/>
                <w:kern w:val="0"/>
                <w:sz w:val="24"/>
              </w:rPr>
              <w:t>级</w:t>
            </w:r>
            <w:r>
              <w:rPr>
                <w:rFonts w:ascii="宋体" w:cs="宋体"/>
                <w:color w:val="000000"/>
                <w:kern w:val="0"/>
                <w:sz w:val="24"/>
              </w:rPr>
              <w:t xml:space="preserve">  </w:t>
            </w:r>
            <w:r>
              <w:rPr>
                <w:rFonts w:hint="eastAsia" w:ascii="宋体" w:cs="宋体"/>
                <w:color w:val="000000"/>
                <w:kern w:val="0"/>
                <w:sz w:val="24"/>
              </w:rPr>
              <w:t>别</w:t>
            </w:r>
          </w:p>
        </w:tc>
        <w:tc>
          <w:tcPr>
            <w:tcW w:w="1937" w:type="dxa"/>
            <w:gridSpan w:val="2"/>
            <w:noWrap w:val="0"/>
            <w:vAlign w:val="center"/>
          </w:tcPr>
          <w:p>
            <w:pPr>
              <w:autoSpaceDE w:val="0"/>
              <w:autoSpaceDN w:val="0"/>
              <w:jc w:val="center"/>
              <w:rPr>
                <w:rFonts w:hint="default" w:eastAsia="宋体"/>
                <w:kern w:val="0"/>
                <w:sz w:val="24"/>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36" w:hRule="atLeast"/>
          <w:jc w:val="center"/>
        </w:trPr>
        <w:tc>
          <w:tcPr>
            <w:tcW w:w="1090" w:type="dxa"/>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单  位</w:t>
            </w:r>
          </w:p>
          <w:p>
            <w:pPr>
              <w:autoSpaceDE w:val="0"/>
              <w:autoSpaceDN w:val="0"/>
              <w:jc w:val="center"/>
              <w:rPr>
                <w:rFonts w:ascii="宋体" w:cs="宋体"/>
                <w:color w:val="000000"/>
                <w:kern w:val="0"/>
                <w:sz w:val="24"/>
              </w:rPr>
            </w:pPr>
            <w:r>
              <w:rPr>
                <w:rFonts w:hint="eastAsia" w:ascii="宋体" w:cs="宋体"/>
                <w:color w:val="000000"/>
                <w:kern w:val="0"/>
                <w:sz w:val="24"/>
              </w:rPr>
              <w:t>性</w:t>
            </w:r>
            <w:r>
              <w:rPr>
                <w:rFonts w:ascii="宋体" w:cs="宋体"/>
                <w:color w:val="000000"/>
                <w:kern w:val="0"/>
                <w:sz w:val="24"/>
              </w:rPr>
              <w:t xml:space="preserve">  </w:t>
            </w:r>
            <w:r>
              <w:rPr>
                <w:rFonts w:hint="eastAsia" w:ascii="宋体" w:cs="宋体"/>
                <w:color w:val="000000"/>
                <w:kern w:val="0"/>
                <w:sz w:val="24"/>
              </w:rPr>
              <w:t>质</w:t>
            </w:r>
          </w:p>
        </w:tc>
        <w:tc>
          <w:tcPr>
            <w:tcW w:w="1073" w:type="dxa"/>
            <w:gridSpan w:val="4"/>
            <w:noWrap w:val="0"/>
            <w:vAlign w:val="center"/>
          </w:tcPr>
          <w:p>
            <w:pPr>
              <w:autoSpaceDE w:val="0"/>
              <w:autoSpaceDN w:val="0"/>
              <w:jc w:val="center"/>
              <w:rPr>
                <w:kern w:val="0"/>
                <w:sz w:val="24"/>
              </w:rPr>
            </w:pPr>
          </w:p>
        </w:tc>
        <w:tc>
          <w:tcPr>
            <w:tcW w:w="1087" w:type="dxa"/>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在</w:t>
            </w:r>
            <w:r>
              <w:rPr>
                <w:rFonts w:ascii="宋体" w:cs="宋体"/>
                <w:color w:val="000000"/>
                <w:kern w:val="0"/>
                <w:sz w:val="24"/>
              </w:rPr>
              <w:t xml:space="preserve">  </w:t>
            </w:r>
            <w:r>
              <w:rPr>
                <w:rFonts w:hint="eastAsia" w:ascii="宋体" w:cs="宋体"/>
                <w:color w:val="000000"/>
                <w:kern w:val="0"/>
                <w:sz w:val="24"/>
              </w:rPr>
              <w:t>编</w:t>
            </w:r>
          </w:p>
          <w:p>
            <w:pPr>
              <w:autoSpaceDE w:val="0"/>
              <w:autoSpaceDN w:val="0"/>
              <w:jc w:val="center"/>
              <w:rPr>
                <w:rFonts w:ascii="宋体" w:cs="宋体"/>
                <w:color w:val="000000"/>
                <w:kern w:val="0"/>
                <w:sz w:val="24"/>
              </w:rPr>
            </w:pPr>
            <w:r>
              <w:rPr>
                <w:rFonts w:hint="eastAsia" w:ascii="宋体" w:cs="宋体"/>
                <w:color w:val="000000"/>
                <w:kern w:val="0"/>
                <w:sz w:val="24"/>
              </w:rPr>
              <w:t>人数</w:t>
            </w:r>
          </w:p>
        </w:tc>
        <w:tc>
          <w:tcPr>
            <w:tcW w:w="1095" w:type="dxa"/>
            <w:noWrap w:val="0"/>
            <w:vAlign w:val="center"/>
          </w:tcPr>
          <w:p>
            <w:pPr>
              <w:autoSpaceDE w:val="0"/>
              <w:autoSpaceDN w:val="0"/>
              <w:jc w:val="center"/>
              <w:rPr>
                <w:kern w:val="0"/>
                <w:sz w:val="24"/>
              </w:rPr>
            </w:pPr>
          </w:p>
        </w:tc>
        <w:tc>
          <w:tcPr>
            <w:tcW w:w="1425" w:type="dxa"/>
            <w:gridSpan w:val="2"/>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核定应编</w:t>
            </w:r>
          </w:p>
          <w:p>
            <w:pPr>
              <w:autoSpaceDE w:val="0"/>
              <w:autoSpaceDN w:val="0"/>
              <w:jc w:val="center"/>
              <w:rPr>
                <w:rFonts w:ascii="宋体" w:cs="宋体"/>
                <w:color w:val="000000"/>
                <w:kern w:val="0"/>
                <w:sz w:val="24"/>
              </w:rPr>
            </w:pPr>
            <w:r>
              <w:rPr>
                <w:rFonts w:hint="eastAsia" w:ascii="宋体" w:cs="宋体"/>
                <w:color w:val="000000"/>
                <w:kern w:val="0"/>
                <w:sz w:val="24"/>
              </w:rPr>
              <w:t>小汽车数</w:t>
            </w:r>
          </w:p>
        </w:tc>
        <w:tc>
          <w:tcPr>
            <w:tcW w:w="1088" w:type="dxa"/>
            <w:gridSpan w:val="2"/>
            <w:noWrap w:val="0"/>
            <w:vAlign w:val="center"/>
          </w:tcPr>
          <w:p>
            <w:pPr>
              <w:autoSpaceDE w:val="0"/>
              <w:autoSpaceDN w:val="0"/>
              <w:jc w:val="center"/>
              <w:rPr>
                <w:kern w:val="0"/>
                <w:sz w:val="24"/>
              </w:rPr>
            </w:pPr>
          </w:p>
        </w:tc>
        <w:tc>
          <w:tcPr>
            <w:tcW w:w="1087" w:type="dxa"/>
            <w:gridSpan w:val="2"/>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现有</w:t>
            </w:r>
          </w:p>
          <w:p>
            <w:pPr>
              <w:autoSpaceDE w:val="0"/>
              <w:autoSpaceDN w:val="0"/>
              <w:jc w:val="center"/>
              <w:rPr>
                <w:rFonts w:ascii="宋体" w:cs="宋体"/>
                <w:color w:val="000000"/>
                <w:kern w:val="0"/>
                <w:sz w:val="24"/>
              </w:rPr>
            </w:pPr>
            <w:r>
              <w:rPr>
                <w:rFonts w:hint="eastAsia" w:ascii="宋体" w:cs="宋体"/>
                <w:color w:val="000000"/>
                <w:kern w:val="0"/>
                <w:sz w:val="24"/>
              </w:rPr>
              <w:t>车辆数</w:t>
            </w:r>
          </w:p>
        </w:tc>
        <w:tc>
          <w:tcPr>
            <w:tcW w:w="1087" w:type="dxa"/>
            <w:noWrap w:val="0"/>
            <w:vAlign w:val="center"/>
          </w:tcPr>
          <w:p>
            <w:pPr>
              <w:autoSpaceDE w:val="0"/>
              <w:autoSpaceDN w:val="0"/>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17" w:hRule="atLeast"/>
          <w:jc w:val="center"/>
        </w:trPr>
        <w:tc>
          <w:tcPr>
            <w:tcW w:w="3250" w:type="dxa"/>
            <w:gridSpan w:val="6"/>
            <w:tcBorders>
              <w:right w:val="single" w:color="auto" w:sz="4" w:space="0"/>
            </w:tcBorders>
            <w:noWrap w:val="0"/>
            <w:vAlign w:val="center"/>
          </w:tcPr>
          <w:p>
            <w:pPr>
              <w:tabs>
                <w:tab w:val="left" w:pos="601"/>
              </w:tabs>
              <w:autoSpaceDE w:val="0"/>
              <w:autoSpaceDN w:val="0"/>
              <w:jc w:val="left"/>
              <w:rPr>
                <w:rFonts w:hint="eastAsia" w:ascii="宋体" w:eastAsia="宋体" w:cs="宋体"/>
                <w:color w:val="000000"/>
                <w:kern w:val="0"/>
                <w:sz w:val="24"/>
                <w:lang w:eastAsia="zh-CN"/>
              </w:rPr>
            </w:pPr>
            <w:r>
              <w:rPr>
                <w:rFonts w:hint="eastAsia" w:ascii="宋体" w:cs="宋体"/>
                <w:color w:val="000000"/>
                <w:kern w:val="0"/>
                <w:sz w:val="24"/>
                <w:lang w:eastAsia="zh-CN"/>
              </w:rPr>
              <w:tab/>
            </w:r>
            <w:r>
              <w:rPr>
                <w:rFonts w:hint="eastAsia" w:ascii="宋体" w:cs="宋体"/>
                <w:color w:val="000000"/>
                <w:kern w:val="0"/>
                <w:sz w:val="24"/>
                <w:lang w:eastAsia="zh-CN"/>
              </w:rPr>
              <w:t>申请处置方式</w:t>
            </w:r>
          </w:p>
        </w:tc>
        <w:tc>
          <w:tcPr>
            <w:tcW w:w="5782" w:type="dxa"/>
            <w:gridSpan w:val="8"/>
            <w:tcBorders>
              <w:left w:val="single" w:color="auto" w:sz="4" w:space="0"/>
            </w:tcBorders>
            <w:noWrap w:val="0"/>
            <w:vAlign w:val="center"/>
          </w:tcPr>
          <w:p>
            <w:pPr>
              <w:tabs>
                <w:tab w:val="left" w:pos="737"/>
              </w:tabs>
              <w:autoSpaceDE w:val="0"/>
              <w:autoSpaceDN w:val="0"/>
              <w:jc w:val="left"/>
              <w:rPr>
                <w:rFonts w:hint="eastAsia" w:ascii="宋体" w:eastAsia="宋体" w:cs="宋体"/>
                <w:color w:val="000000"/>
                <w:kern w:val="0"/>
                <w:sz w:val="24"/>
                <w:lang w:eastAsia="zh-CN"/>
              </w:rPr>
            </w:pPr>
            <w:r>
              <w:rPr>
                <w:rFonts w:hint="eastAsia" w:ascii="宋体" w:cs="宋体"/>
                <w:color w:val="000000"/>
                <w:kern w:val="0"/>
                <w:sz w:val="24"/>
                <w:lang w:eastAsia="zh-CN"/>
              </w:rPr>
              <w:tab/>
            </w:r>
            <w:r>
              <w:rPr>
                <w:rFonts w:hint="eastAsia" w:ascii="宋体" w:cs="宋体"/>
                <w:color w:val="000000"/>
                <w:kern w:val="0"/>
                <w:sz w:val="24"/>
                <w:lang w:eastAsia="zh-CN"/>
              </w:rPr>
              <w:t>拍卖（</w:t>
            </w:r>
            <w:r>
              <w:rPr>
                <w:rFonts w:hint="eastAsia" w:ascii="宋体" w:cs="宋体"/>
                <w:color w:val="000000"/>
                <w:kern w:val="0"/>
                <w:sz w:val="24"/>
                <w:lang w:val="en-US" w:eastAsia="zh-CN"/>
              </w:rPr>
              <w:t xml:space="preserve"> </w:t>
            </w:r>
            <w:r>
              <w:rPr>
                <w:rFonts w:hint="eastAsia" w:ascii="宋体" w:cs="宋体"/>
                <w:color w:val="000000"/>
                <w:kern w:val="0"/>
                <w:sz w:val="24"/>
                <w:lang w:eastAsia="zh-CN"/>
              </w:rPr>
              <w:t>）、报废（</w:t>
            </w:r>
            <w:r>
              <w:rPr>
                <w:rFonts w:hint="eastAsia" w:ascii="宋体" w:cs="宋体"/>
                <w:color w:val="000000"/>
                <w:kern w:val="0"/>
                <w:sz w:val="24"/>
                <w:lang w:val="en-US" w:eastAsia="zh-CN"/>
              </w:rPr>
              <w:t xml:space="preserve"> </w:t>
            </w:r>
            <w:r>
              <w:rPr>
                <w:rFonts w:hint="eastAsia" w:ascii="宋体" w:cs="宋体"/>
                <w:color w:val="000000"/>
                <w:kern w:val="0"/>
                <w:sz w:val="24"/>
                <w:lang w:eastAsia="zh-CN"/>
              </w:rPr>
              <w:t>）、回收（</w:t>
            </w:r>
            <w:r>
              <w:rPr>
                <w:rFonts w:hint="eastAsia" w:ascii="宋体" w:cs="宋体"/>
                <w:color w:val="000000"/>
                <w:kern w:val="0"/>
                <w:sz w:val="24"/>
                <w:lang w:val="en-US" w:eastAsia="zh-CN"/>
              </w:rPr>
              <w:t xml:space="preserve"> </w:t>
            </w:r>
            <w:r>
              <w:rPr>
                <w:rFonts w:hint="eastAsia" w:ascii="宋体" w:cs="宋体"/>
                <w:color w:val="000000"/>
                <w:kern w:val="0"/>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17" w:hRule="atLeast"/>
          <w:jc w:val="center"/>
        </w:trPr>
        <w:tc>
          <w:tcPr>
            <w:tcW w:w="1659" w:type="dxa"/>
            <w:gridSpan w:val="4"/>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车</w:t>
            </w:r>
            <w:r>
              <w:rPr>
                <w:rFonts w:ascii="宋体" w:cs="宋体"/>
                <w:color w:val="000000"/>
                <w:kern w:val="0"/>
                <w:sz w:val="24"/>
              </w:rPr>
              <w:t xml:space="preserve">    </w:t>
            </w:r>
            <w:r>
              <w:rPr>
                <w:rFonts w:hint="eastAsia" w:ascii="宋体" w:cs="宋体"/>
                <w:color w:val="000000"/>
                <w:kern w:val="0"/>
                <w:sz w:val="24"/>
              </w:rPr>
              <w:t>种</w:t>
            </w:r>
          </w:p>
        </w:tc>
        <w:tc>
          <w:tcPr>
            <w:tcW w:w="1591" w:type="dxa"/>
            <w:gridSpan w:val="2"/>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车</w:t>
            </w:r>
            <w:r>
              <w:rPr>
                <w:rFonts w:ascii="宋体" w:cs="宋体"/>
                <w:color w:val="000000"/>
                <w:kern w:val="0"/>
                <w:sz w:val="24"/>
              </w:rPr>
              <w:t xml:space="preserve">    </w:t>
            </w:r>
            <w:r>
              <w:rPr>
                <w:rFonts w:hint="eastAsia" w:ascii="宋体" w:cs="宋体"/>
                <w:color w:val="000000"/>
                <w:kern w:val="0"/>
                <w:sz w:val="24"/>
              </w:rPr>
              <w:t>型</w:t>
            </w:r>
          </w:p>
        </w:tc>
        <w:tc>
          <w:tcPr>
            <w:tcW w:w="2924" w:type="dxa"/>
            <w:gridSpan w:val="4"/>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车</w:t>
            </w:r>
            <w:r>
              <w:rPr>
                <w:rFonts w:ascii="宋体" w:cs="宋体"/>
                <w:color w:val="000000"/>
                <w:kern w:val="0"/>
                <w:sz w:val="24"/>
              </w:rPr>
              <w:t xml:space="preserve">  </w:t>
            </w:r>
            <w:r>
              <w:rPr>
                <w:rFonts w:hint="eastAsia" w:ascii="宋体" w:cs="宋体"/>
                <w:color w:val="000000"/>
                <w:kern w:val="0"/>
                <w:sz w:val="24"/>
              </w:rPr>
              <w:t>牌</w:t>
            </w:r>
            <w:r>
              <w:rPr>
                <w:rFonts w:ascii="宋体" w:cs="宋体"/>
                <w:color w:val="000000"/>
                <w:kern w:val="0"/>
                <w:sz w:val="24"/>
              </w:rPr>
              <w:t xml:space="preserve">  </w:t>
            </w:r>
            <w:r>
              <w:rPr>
                <w:rFonts w:hint="eastAsia" w:ascii="宋体" w:cs="宋体"/>
                <w:color w:val="000000"/>
                <w:kern w:val="0"/>
                <w:sz w:val="24"/>
              </w:rPr>
              <w:t>号</w:t>
            </w:r>
            <w:r>
              <w:rPr>
                <w:rFonts w:ascii="宋体" w:cs="宋体"/>
                <w:color w:val="000000"/>
                <w:kern w:val="0"/>
                <w:sz w:val="24"/>
              </w:rPr>
              <w:t xml:space="preserve">  </w:t>
            </w:r>
            <w:r>
              <w:rPr>
                <w:rFonts w:hint="eastAsia" w:ascii="宋体" w:cs="宋体"/>
                <w:color w:val="000000"/>
                <w:kern w:val="0"/>
                <w:sz w:val="24"/>
              </w:rPr>
              <w:t>码</w:t>
            </w:r>
          </w:p>
        </w:tc>
        <w:tc>
          <w:tcPr>
            <w:tcW w:w="2858" w:type="dxa"/>
            <w:gridSpan w:val="4"/>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启</w:t>
            </w:r>
            <w:r>
              <w:rPr>
                <w:rFonts w:ascii="宋体" w:cs="宋体"/>
                <w:color w:val="000000"/>
                <w:kern w:val="0"/>
                <w:sz w:val="24"/>
              </w:rPr>
              <w:t xml:space="preserve">  </w:t>
            </w:r>
            <w:r>
              <w:rPr>
                <w:rFonts w:hint="eastAsia" w:ascii="宋体" w:cs="宋体"/>
                <w:color w:val="000000"/>
                <w:kern w:val="0"/>
                <w:sz w:val="24"/>
              </w:rPr>
              <w:t>用</w:t>
            </w:r>
            <w:r>
              <w:rPr>
                <w:rFonts w:ascii="宋体" w:cs="宋体"/>
                <w:color w:val="000000"/>
                <w:kern w:val="0"/>
                <w:sz w:val="24"/>
              </w:rPr>
              <w:t xml:space="preserve">  </w:t>
            </w:r>
            <w:r>
              <w:rPr>
                <w:rFonts w:hint="eastAsia" w:ascii="宋体" w:cs="宋体"/>
                <w:color w:val="000000"/>
                <w:kern w:val="0"/>
                <w:sz w:val="24"/>
              </w:rPr>
              <w:t>时</w:t>
            </w:r>
            <w:r>
              <w:rPr>
                <w:rFonts w:ascii="宋体" w:cs="宋体"/>
                <w:color w:val="000000"/>
                <w:kern w:val="0"/>
                <w:sz w:val="24"/>
              </w:rPr>
              <w:t xml:space="preserve">  </w:t>
            </w:r>
            <w:r>
              <w:rPr>
                <w:rFonts w:hint="eastAsia" w:ascii="宋体" w:cs="宋体"/>
                <w:color w:val="000000"/>
                <w:kern w:val="0"/>
                <w:sz w:val="24"/>
              </w:rPr>
              <w:t>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17" w:hRule="atLeast"/>
          <w:jc w:val="center"/>
        </w:trPr>
        <w:tc>
          <w:tcPr>
            <w:tcW w:w="1659" w:type="dxa"/>
            <w:gridSpan w:val="4"/>
            <w:noWrap w:val="0"/>
            <w:vAlign w:val="center"/>
          </w:tcPr>
          <w:p>
            <w:pPr>
              <w:autoSpaceDE w:val="0"/>
              <w:autoSpaceDN w:val="0"/>
              <w:jc w:val="center"/>
              <w:rPr>
                <w:kern w:val="0"/>
                <w:sz w:val="24"/>
              </w:rPr>
            </w:pPr>
          </w:p>
        </w:tc>
        <w:tc>
          <w:tcPr>
            <w:tcW w:w="1591" w:type="dxa"/>
            <w:gridSpan w:val="2"/>
            <w:noWrap w:val="0"/>
            <w:vAlign w:val="center"/>
          </w:tcPr>
          <w:p>
            <w:pPr>
              <w:autoSpaceDE w:val="0"/>
              <w:autoSpaceDN w:val="0"/>
              <w:jc w:val="center"/>
              <w:rPr>
                <w:kern w:val="0"/>
                <w:sz w:val="24"/>
              </w:rPr>
            </w:pPr>
          </w:p>
        </w:tc>
        <w:tc>
          <w:tcPr>
            <w:tcW w:w="2924" w:type="dxa"/>
            <w:gridSpan w:val="4"/>
            <w:noWrap w:val="0"/>
            <w:vAlign w:val="center"/>
          </w:tcPr>
          <w:p>
            <w:pPr>
              <w:autoSpaceDE w:val="0"/>
              <w:autoSpaceDN w:val="0"/>
              <w:jc w:val="center"/>
              <w:rPr>
                <w:kern w:val="0"/>
                <w:sz w:val="24"/>
              </w:rPr>
            </w:pPr>
          </w:p>
        </w:tc>
        <w:tc>
          <w:tcPr>
            <w:tcW w:w="2858" w:type="dxa"/>
            <w:gridSpan w:val="4"/>
            <w:noWrap w:val="0"/>
            <w:vAlign w:val="center"/>
          </w:tcPr>
          <w:p>
            <w:pPr>
              <w:autoSpaceDE w:val="0"/>
              <w:autoSpaceDN w:val="0"/>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17" w:hRule="atLeast"/>
          <w:jc w:val="center"/>
        </w:trPr>
        <w:tc>
          <w:tcPr>
            <w:tcW w:w="3250" w:type="dxa"/>
            <w:gridSpan w:val="6"/>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总 行 驶 里 程</w:t>
            </w:r>
          </w:p>
        </w:tc>
        <w:tc>
          <w:tcPr>
            <w:tcW w:w="2924" w:type="dxa"/>
            <w:gridSpan w:val="4"/>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发 动 机 号 码</w:t>
            </w:r>
          </w:p>
        </w:tc>
        <w:tc>
          <w:tcPr>
            <w:tcW w:w="2858" w:type="dxa"/>
            <w:gridSpan w:val="4"/>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车 架 号 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18" w:hRule="atLeast"/>
          <w:jc w:val="center"/>
        </w:trPr>
        <w:tc>
          <w:tcPr>
            <w:tcW w:w="3250" w:type="dxa"/>
            <w:gridSpan w:val="6"/>
            <w:noWrap w:val="0"/>
            <w:vAlign w:val="center"/>
          </w:tcPr>
          <w:p>
            <w:pPr>
              <w:autoSpaceDE w:val="0"/>
              <w:autoSpaceDN w:val="0"/>
              <w:jc w:val="center"/>
              <w:rPr>
                <w:kern w:val="0"/>
                <w:sz w:val="24"/>
              </w:rPr>
            </w:pPr>
          </w:p>
        </w:tc>
        <w:tc>
          <w:tcPr>
            <w:tcW w:w="2924" w:type="dxa"/>
            <w:gridSpan w:val="4"/>
            <w:noWrap w:val="0"/>
            <w:vAlign w:val="center"/>
          </w:tcPr>
          <w:p>
            <w:pPr>
              <w:autoSpaceDE w:val="0"/>
              <w:autoSpaceDN w:val="0"/>
              <w:jc w:val="center"/>
              <w:rPr>
                <w:kern w:val="0"/>
                <w:sz w:val="24"/>
              </w:rPr>
            </w:pPr>
          </w:p>
        </w:tc>
        <w:tc>
          <w:tcPr>
            <w:tcW w:w="2858" w:type="dxa"/>
            <w:gridSpan w:val="4"/>
            <w:noWrap w:val="0"/>
            <w:vAlign w:val="center"/>
          </w:tcPr>
          <w:p>
            <w:pPr>
              <w:autoSpaceDE w:val="0"/>
              <w:autoSpaceDN w:val="0"/>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269" w:hRule="atLeast"/>
          <w:jc w:val="center"/>
        </w:trPr>
        <w:tc>
          <w:tcPr>
            <w:tcW w:w="1335" w:type="dxa"/>
            <w:gridSpan w:val="2"/>
            <w:noWrap w:val="0"/>
            <w:vAlign w:val="center"/>
          </w:tcPr>
          <w:p>
            <w:pPr>
              <w:autoSpaceDE w:val="0"/>
              <w:autoSpaceDN w:val="0"/>
              <w:jc w:val="center"/>
              <w:rPr>
                <w:rFonts w:hint="eastAsia" w:ascii="宋体" w:cs="宋体"/>
                <w:color w:val="000000"/>
                <w:kern w:val="0"/>
                <w:sz w:val="24"/>
                <w:lang w:eastAsia="zh-CN"/>
              </w:rPr>
            </w:pPr>
            <w:r>
              <w:rPr>
                <w:rFonts w:hint="eastAsia" w:ascii="宋体" w:cs="宋体"/>
                <w:color w:val="000000"/>
                <w:kern w:val="0"/>
                <w:sz w:val="24"/>
                <w:lang w:eastAsia="zh-CN"/>
              </w:rPr>
              <w:t>行政</w:t>
            </w:r>
          </w:p>
          <w:p>
            <w:pPr>
              <w:autoSpaceDE w:val="0"/>
              <w:autoSpaceDN w:val="0"/>
              <w:jc w:val="center"/>
              <w:rPr>
                <w:rFonts w:ascii="宋体" w:cs="宋体"/>
                <w:color w:val="000000"/>
                <w:kern w:val="0"/>
                <w:sz w:val="24"/>
              </w:rPr>
            </w:pPr>
            <w:r>
              <w:rPr>
                <w:rFonts w:hint="eastAsia" w:ascii="宋体" w:cs="宋体"/>
                <w:color w:val="000000"/>
                <w:kern w:val="0"/>
                <w:sz w:val="24"/>
              </w:rPr>
              <w:t>主管</w:t>
            </w:r>
          </w:p>
          <w:p>
            <w:pPr>
              <w:autoSpaceDE w:val="0"/>
              <w:autoSpaceDN w:val="0"/>
              <w:jc w:val="center"/>
              <w:rPr>
                <w:rFonts w:hint="eastAsia" w:ascii="宋体" w:cs="宋体"/>
                <w:color w:val="000000"/>
                <w:kern w:val="0"/>
                <w:sz w:val="24"/>
              </w:rPr>
            </w:pPr>
            <w:r>
              <w:rPr>
                <w:rFonts w:hint="eastAsia" w:ascii="宋体" w:cs="宋体"/>
                <w:color w:val="000000"/>
                <w:kern w:val="0"/>
                <w:sz w:val="24"/>
              </w:rPr>
              <w:t>部门</w:t>
            </w:r>
          </w:p>
          <w:p>
            <w:pPr>
              <w:autoSpaceDE w:val="0"/>
              <w:autoSpaceDN w:val="0"/>
              <w:jc w:val="center"/>
              <w:rPr>
                <w:rFonts w:hint="eastAsia" w:ascii="宋体" w:eastAsia="宋体" w:cs="宋体"/>
                <w:color w:val="000000"/>
                <w:kern w:val="0"/>
                <w:sz w:val="24"/>
                <w:lang w:eastAsia="zh-CN"/>
              </w:rPr>
            </w:pPr>
            <w:r>
              <w:rPr>
                <w:rFonts w:hint="eastAsia" w:ascii="宋体" w:cs="宋体"/>
                <w:color w:val="000000"/>
                <w:kern w:val="0"/>
                <w:sz w:val="24"/>
                <w:lang w:eastAsia="zh-CN"/>
              </w:rPr>
              <w:t>意见</w:t>
            </w:r>
          </w:p>
        </w:tc>
        <w:tc>
          <w:tcPr>
            <w:tcW w:w="7697" w:type="dxa"/>
            <w:gridSpan w:val="12"/>
            <w:noWrap w:val="0"/>
            <w:vAlign w:val="center"/>
          </w:tcPr>
          <w:p>
            <w:pPr>
              <w:autoSpaceDE w:val="0"/>
              <w:autoSpaceDN w:val="0"/>
              <w:jc w:val="center"/>
              <w:rPr>
                <w:rFonts w:ascii="宋体" w:cs="宋体"/>
                <w:color w:val="000000"/>
                <w:kern w:val="0"/>
                <w:sz w:val="24"/>
              </w:rPr>
            </w:pPr>
          </w:p>
          <w:p>
            <w:pPr>
              <w:autoSpaceDE w:val="0"/>
              <w:autoSpaceDN w:val="0"/>
              <w:jc w:val="center"/>
              <w:rPr>
                <w:rFonts w:ascii="宋体" w:cs="宋体"/>
                <w:color w:val="000000"/>
                <w:kern w:val="0"/>
                <w:sz w:val="24"/>
              </w:rPr>
            </w:pPr>
          </w:p>
          <w:p>
            <w:pPr>
              <w:autoSpaceDE w:val="0"/>
              <w:autoSpaceDN w:val="0"/>
              <w:jc w:val="center"/>
              <w:rPr>
                <w:rFonts w:ascii="宋体" w:cs="宋体"/>
                <w:color w:val="000000"/>
                <w:kern w:val="0"/>
                <w:sz w:val="24"/>
              </w:rPr>
            </w:pPr>
          </w:p>
          <w:p>
            <w:pPr>
              <w:autoSpaceDE w:val="0"/>
              <w:autoSpaceDN w:val="0"/>
              <w:jc w:val="center"/>
              <w:rPr>
                <w:rFonts w:ascii="宋体" w:cs="宋体"/>
                <w:color w:val="000000"/>
                <w:kern w:val="0"/>
                <w:sz w:val="24"/>
              </w:rPr>
            </w:pPr>
          </w:p>
          <w:p>
            <w:pPr>
              <w:autoSpaceDE w:val="0"/>
              <w:autoSpaceDN w:val="0"/>
              <w:jc w:val="center"/>
              <w:rPr>
                <w:rFonts w:ascii="宋体" w:cs="宋体"/>
                <w:color w:val="000000"/>
                <w:kern w:val="0"/>
                <w:sz w:val="24"/>
              </w:rPr>
            </w:pPr>
            <w:r>
              <w:rPr>
                <w:rFonts w:hint="eastAsia" w:ascii="宋体" w:cs="宋体"/>
                <w:color w:val="000000"/>
                <w:kern w:val="0"/>
                <w:sz w:val="24"/>
              </w:rPr>
              <w:t xml:space="preserve">                               盖章</w:t>
            </w:r>
            <w:r>
              <w:rPr>
                <w:rFonts w:ascii="宋体" w:cs="宋体"/>
                <w:color w:val="000000"/>
                <w:kern w:val="0"/>
                <w:sz w:val="24"/>
              </w:rPr>
              <w:t xml:space="preserve"> </w:t>
            </w:r>
            <w:r>
              <w:rPr>
                <w:rFonts w:hint="eastAsia" w:ascii="宋体" w:cs="宋体"/>
                <w:color w:val="000000"/>
                <w:kern w:val="0"/>
                <w:sz w:val="24"/>
              </w:rPr>
              <w:t xml:space="preserve">     </w:t>
            </w:r>
            <w:r>
              <w:rPr>
                <w:rFonts w:ascii="宋体" w:cs="宋体"/>
                <w:color w:val="000000"/>
                <w:kern w:val="0"/>
                <w:sz w:val="24"/>
              </w:rPr>
              <w:t xml:space="preserve">   </w:t>
            </w:r>
            <w:r>
              <w:rPr>
                <w:rFonts w:hint="eastAsia" w:ascii="宋体" w:cs="宋体"/>
                <w:color w:val="000000"/>
                <w:kern w:val="0"/>
                <w:sz w:val="24"/>
              </w:rPr>
              <w:t>年</w:t>
            </w:r>
            <w:r>
              <w:rPr>
                <w:rFonts w:ascii="宋体" w:cs="宋体"/>
                <w:color w:val="000000"/>
                <w:kern w:val="0"/>
                <w:sz w:val="24"/>
              </w:rPr>
              <w:t xml:space="preserve">    </w:t>
            </w:r>
            <w:r>
              <w:rPr>
                <w:rFonts w:hint="eastAsia" w:ascii="宋体" w:cs="宋体"/>
                <w:color w:val="000000"/>
                <w:kern w:val="0"/>
                <w:sz w:val="24"/>
              </w:rPr>
              <w:t>月</w:t>
            </w:r>
            <w:r>
              <w:rPr>
                <w:rFonts w:ascii="宋体" w:cs="宋体"/>
                <w:color w:val="000000"/>
                <w:kern w:val="0"/>
                <w:sz w:val="24"/>
              </w:rPr>
              <w:t xml:space="preserve">    </w:t>
            </w:r>
            <w:r>
              <w:rPr>
                <w:rFonts w:hint="eastAsia" w:ascii="宋体" w:cs="宋体"/>
                <w:color w:val="000000"/>
                <w:kern w:val="0"/>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78" w:hRule="atLeast"/>
          <w:jc w:val="center"/>
        </w:trPr>
        <w:tc>
          <w:tcPr>
            <w:tcW w:w="1335" w:type="dxa"/>
            <w:gridSpan w:val="2"/>
            <w:noWrap w:val="0"/>
            <w:vAlign w:val="center"/>
          </w:tcPr>
          <w:p>
            <w:pPr>
              <w:autoSpaceDE w:val="0"/>
              <w:autoSpaceDN w:val="0"/>
              <w:jc w:val="center"/>
              <w:rPr>
                <w:rFonts w:hint="eastAsia" w:ascii="宋体" w:cs="宋体"/>
                <w:color w:val="000000"/>
                <w:kern w:val="0"/>
                <w:sz w:val="24"/>
                <w:lang w:eastAsia="zh-CN"/>
              </w:rPr>
            </w:pPr>
            <w:r>
              <w:rPr>
                <w:rFonts w:hint="eastAsia" w:ascii="宋体" w:cs="宋体"/>
                <w:color w:val="000000"/>
                <w:kern w:val="0"/>
                <w:sz w:val="24"/>
                <w:lang w:eastAsia="zh-CN"/>
              </w:rPr>
              <w:t>公务用车</w:t>
            </w:r>
          </w:p>
          <w:p>
            <w:pPr>
              <w:autoSpaceDE w:val="0"/>
              <w:autoSpaceDN w:val="0"/>
              <w:jc w:val="center"/>
              <w:rPr>
                <w:rFonts w:hint="eastAsia" w:ascii="宋体" w:cs="宋体"/>
                <w:color w:val="000000"/>
                <w:kern w:val="0"/>
                <w:sz w:val="24"/>
                <w:lang w:eastAsia="zh-CN"/>
              </w:rPr>
            </w:pPr>
            <w:r>
              <w:rPr>
                <w:rFonts w:hint="eastAsia" w:ascii="宋体" w:cs="宋体"/>
                <w:color w:val="000000"/>
                <w:kern w:val="0"/>
                <w:sz w:val="24"/>
                <w:lang w:eastAsia="zh-CN"/>
              </w:rPr>
              <w:t>主管部门</w:t>
            </w:r>
          </w:p>
          <w:p>
            <w:pPr>
              <w:autoSpaceDE w:val="0"/>
              <w:autoSpaceDN w:val="0"/>
              <w:jc w:val="center"/>
              <w:rPr>
                <w:rFonts w:hint="eastAsia" w:ascii="宋体" w:cs="宋体"/>
                <w:color w:val="000000"/>
                <w:kern w:val="0"/>
                <w:sz w:val="24"/>
                <w:lang w:eastAsia="zh-CN"/>
              </w:rPr>
            </w:pPr>
            <w:r>
              <w:rPr>
                <w:rFonts w:hint="eastAsia" w:ascii="宋体" w:cs="宋体"/>
                <w:color w:val="000000"/>
                <w:kern w:val="0"/>
                <w:sz w:val="24"/>
                <w:lang w:eastAsia="zh-CN"/>
              </w:rPr>
              <w:t>审批意见</w:t>
            </w:r>
          </w:p>
        </w:tc>
        <w:tc>
          <w:tcPr>
            <w:tcW w:w="7697" w:type="dxa"/>
            <w:gridSpan w:val="12"/>
            <w:noWrap w:val="0"/>
            <w:vAlign w:val="center"/>
          </w:tcPr>
          <w:p>
            <w:pPr>
              <w:autoSpaceDE w:val="0"/>
              <w:autoSpaceDN w:val="0"/>
              <w:jc w:val="center"/>
              <w:rPr>
                <w:rFonts w:ascii="宋体" w:cs="宋体"/>
                <w:color w:val="000000"/>
                <w:kern w:val="0"/>
                <w:sz w:val="24"/>
              </w:rPr>
            </w:pPr>
          </w:p>
          <w:p>
            <w:pPr>
              <w:autoSpaceDE w:val="0"/>
              <w:autoSpaceDN w:val="0"/>
              <w:jc w:val="center"/>
              <w:rPr>
                <w:rFonts w:ascii="宋体" w:cs="宋体"/>
                <w:color w:val="000000"/>
                <w:kern w:val="0"/>
                <w:sz w:val="24"/>
              </w:rPr>
            </w:pPr>
          </w:p>
          <w:p>
            <w:pPr>
              <w:autoSpaceDE w:val="0"/>
              <w:autoSpaceDN w:val="0"/>
              <w:jc w:val="center"/>
              <w:rPr>
                <w:rFonts w:ascii="宋体" w:cs="宋体"/>
                <w:color w:val="000000"/>
                <w:kern w:val="0"/>
                <w:sz w:val="24"/>
              </w:rPr>
            </w:pPr>
          </w:p>
          <w:p>
            <w:pPr>
              <w:autoSpaceDE w:val="0"/>
              <w:autoSpaceDN w:val="0"/>
              <w:jc w:val="center"/>
              <w:rPr>
                <w:rFonts w:ascii="宋体" w:cs="宋体"/>
                <w:color w:val="000000"/>
                <w:kern w:val="0"/>
                <w:sz w:val="24"/>
              </w:rPr>
            </w:pPr>
          </w:p>
          <w:p>
            <w:pPr>
              <w:autoSpaceDE w:val="0"/>
              <w:autoSpaceDN w:val="0"/>
              <w:jc w:val="center"/>
              <w:rPr>
                <w:rFonts w:hint="eastAsia" w:ascii="宋体" w:cs="宋体"/>
                <w:color w:val="000000"/>
                <w:kern w:val="0"/>
                <w:sz w:val="24"/>
              </w:rPr>
            </w:pPr>
            <w:r>
              <w:rPr>
                <w:rFonts w:hint="eastAsia" w:ascii="宋体" w:cs="宋体"/>
                <w:color w:val="000000"/>
                <w:kern w:val="0"/>
                <w:sz w:val="24"/>
              </w:rPr>
              <w:t xml:space="preserve">                                盖章</w:t>
            </w:r>
            <w:r>
              <w:rPr>
                <w:rFonts w:ascii="宋体" w:cs="宋体"/>
                <w:color w:val="000000"/>
                <w:kern w:val="0"/>
                <w:sz w:val="24"/>
              </w:rPr>
              <w:t xml:space="preserve"> </w:t>
            </w:r>
            <w:r>
              <w:rPr>
                <w:rFonts w:hint="eastAsia" w:ascii="宋体" w:cs="宋体"/>
                <w:color w:val="000000"/>
                <w:kern w:val="0"/>
                <w:sz w:val="24"/>
              </w:rPr>
              <w:t xml:space="preserve">     </w:t>
            </w:r>
            <w:r>
              <w:rPr>
                <w:rFonts w:ascii="宋体" w:cs="宋体"/>
                <w:color w:val="000000"/>
                <w:kern w:val="0"/>
                <w:sz w:val="24"/>
              </w:rPr>
              <w:t xml:space="preserve">   </w:t>
            </w:r>
            <w:r>
              <w:rPr>
                <w:rFonts w:hint="eastAsia" w:ascii="宋体" w:cs="宋体"/>
                <w:color w:val="000000"/>
                <w:kern w:val="0"/>
                <w:sz w:val="24"/>
              </w:rPr>
              <w:t>年</w:t>
            </w:r>
            <w:r>
              <w:rPr>
                <w:rFonts w:ascii="宋体" w:cs="宋体"/>
                <w:color w:val="000000"/>
                <w:kern w:val="0"/>
                <w:sz w:val="24"/>
              </w:rPr>
              <w:t xml:space="preserve"> </w:t>
            </w:r>
            <w:r>
              <w:rPr>
                <w:rFonts w:hint="eastAsia" w:ascii="宋体" w:cs="宋体"/>
                <w:color w:val="000000"/>
                <w:kern w:val="0"/>
                <w:sz w:val="24"/>
              </w:rPr>
              <w:t xml:space="preserve">  </w:t>
            </w:r>
            <w:r>
              <w:rPr>
                <w:rFonts w:ascii="宋体" w:cs="宋体"/>
                <w:color w:val="000000"/>
                <w:kern w:val="0"/>
                <w:sz w:val="24"/>
              </w:rPr>
              <w:t xml:space="preserve"> </w:t>
            </w:r>
            <w:r>
              <w:rPr>
                <w:rFonts w:hint="eastAsia" w:ascii="宋体" w:cs="宋体"/>
                <w:color w:val="000000"/>
                <w:kern w:val="0"/>
                <w:sz w:val="24"/>
              </w:rPr>
              <w:t>月</w:t>
            </w:r>
            <w:r>
              <w:rPr>
                <w:rFonts w:ascii="宋体" w:cs="宋体"/>
                <w:color w:val="000000"/>
                <w:kern w:val="0"/>
                <w:sz w:val="24"/>
              </w:rPr>
              <w:t xml:space="preserve">    </w:t>
            </w:r>
            <w:r>
              <w:rPr>
                <w:rFonts w:hint="eastAsia" w:ascii="宋体" w:cs="宋体"/>
                <w:color w:val="000000"/>
                <w:kern w:val="0"/>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3" w:hRule="atLeast"/>
          <w:jc w:val="center"/>
        </w:trPr>
        <w:tc>
          <w:tcPr>
            <w:tcW w:w="1335" w:type="dxa"/>
            <w:gridSpan w:val="2"/>
            <w:noWrap w:val="0"/>
            <w:vAlign w:val="center"/>
          </w:tcPr>
          <w:p>
            <w:pPr>
              <w:autoSpaceDE w:val="0"/>
              <w:autoSpaceDN w:val="0"/>
              <w:jc w:val="center"/>
              <w:rPr>
                <w:rFonts w:ascii="宋体" w:cs="宋体"/>
                <w:color w:val="000000"/>
                <w:kern w:val="0"/>
                <w:sz w:val="24"/>
              </w:rPr>
            </w:pPr>
            <w:r>
              <w:rPr>
                <w:rFonts w:hint="eastAsia" w:ascii="宋体" w:cs="宋体"/>
                <w:color w:val="000000"/>
                <w:kern w:val="0"/>
                <w:sz w:val="24"/>
              </w:rPr>
              <w:t>备注</w:t>
            </w:r>
          </w:p>
        </w:tc>
        <w:tc>
          <w:tcPr>
            <w:tcW w:w="7697" w:type="dxa"/>
            <w:gridSpan w:val="12"/>
            <w:noWrap w:val="0"/>
            <w:vAlign w:val="center"/>
          </w:tcPr>
          <w:p>
            <w:pPr>
              <w:autoSpaceDE w:val="0"/>
              <w:autoSpaceDN w:val="0"/>
              <w:ind w:firstLine="240" w:firstLineChars="100"/>
              <w:rPr>
                <w:rFonts w:ascii="宋体" w:cs="宋体"/>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after="157" w:afterLines="50" w:line="320" w:lineRule="exact"/>
        <w:ind w:left="0" w:leftChars="0" w:right="0" w:rightChars="0"/>
        <w:jc w:val="both"/>
        <w:textAlignment w:val="auto"/>
        <w:outlineLvl w:val="9"/>
        <w:rPr>
          <w:rFonts w:hint="eastAsia" w:ascii="宋体" w:hAnsi="宋体"/>
          <w:color w:val="000000"/>
        </w:rPr>
      </w:pPr>
      <w:r>
        <w:rPr>
          <w:rFonts w:hint="eastAsia" w:ascii="宋体" w:hAnsi="宋体" w:eastAsia="宋体" w:cs="宋体"/>
          <w:color w:val="000000"/>
          <w:kern w:val="0"/>
          <w:sz w:val="21"/>
          <w:szCs w:val="21"/>
        </w:rPr>
        <w:t>此表一式</w:t>
      </w:r>
      <w:r>
        <w:rPr>
          <w:rFonts w:hint="eastAsia" w:ascii="宋体" w:hAnsi="宋体" w:eastAsia="宋体" w:cs="宋体"/>
          <w:color w:val="000000"/>
          <w:kern w:val="0"/>
          <w:sz w:val="21"/>
          <w:szCs w:val="21"/>
          <w:lang w:eastAsia="zh-CN"/>
        </w:rPr>
        <w:t>两</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eastAsia="zh-CN"/>
        </w:rPr>
        <w:t>，申请车辆更新单位、市小汽车定编办各一份。</w:t>
      </w:r>
    </w:p>
    <w:p>
      <w:pPr>
        <w:ind w:firstLine="420" w:firstLineChars="200"/>
        <w:rPr>
          <w:rFonts w:hint="default" w:ascii="仿宋" w:hAnsi="仿宋" w:eastAsia="仿宋" w:cs="仿宋"/>
          <w:color w:val="auto"/>
          <w:sz w:val="32"/>
          <w:szCs w:val="32"/>
          <w:lang w:val="en-US" w:eastAsia="zh-CN"/>
        </w:rPr>
      </w:pPr>
      <w:r>
        <w:rPr>
          <w:rFonts w:hint="eastAsia" w:ascii="宋体" w:hAnsi="宋体"/>
          <w:color w:val="000000"/>
        </w:rPr>
        <w:t>经办人：</w:t>
      </w:r>
      <w:r>
        <w:rPr>
          <w:rFonts w:hint="eastAsia" w:ascii="宋体" w:hAnsi="宋体"/>
          <w:color w:val="000000"/>
          <w:lang w:eastAsia="zh-CN"/>
        </w:rPr>
        <w:t>（必填）</w:t>
      </w: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电话：</w:t>
      </w:r>
      <w:r>
        <w:rPr>
          <w:rFonts w:hint="eastAsia" w:ascii="宋体" w:hAnsi="宋体"/>
          <w:color w:val="000000"/>
          <w:lang w:eastAsia="zh-CN"/>
        </w:rPr>
        <w:t>（必填）</w:t>
      </w:r>
    </w:p>
    <w:sectPr>
      <w:footerReference r:id="rId3" w:type="default"/>
      <w:footerReference r:id="rId4" w:type="even"/>
      <w:pgSz w:w="11906" w:h="16838"/>
      <w:pgMar w:top="2098" w:right="1474" w:bottom="1985" w:left="1588" w:header="851" w:footer="1418" w:gutter="0"/>
      <w:pgBorders>
        <w:top w:val="none" w:sz="0" w:space="0"/>
        <w:left w:val="none" w:sz="0" w:space="0"/>
        <w:bottom w:val="none" w:sz="0" w:space="0"/>
        <w:right w:val="none" w:sz="0" w:space="0"/>
      </w:pgBorders>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firstLine="360"/>
      <w:jc w:val="right"/>
      <w:rPr>
        <w:rFonts w:hint="eastAsia" w:ascii="仿宋_GB2312" w:hAnsi="仿宋_GB2312" w:eastAsia="仿宋_GB2312" w:cs="仿宋_GB2312"/>
        <w:sz w:val="28"/>
        <w:szCs w:val="28"/>
      </w:rPr>
    </w:pP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 xml:space="preserve">― </w:t>
    </w:r>
    <w:r>
      <w:rPr>
        <w:rFonts w:hint="eastAsia" w:ascii="仿宋" w:hAnsi="仿宋" w:eastAsia="仿宋" w:cs="仿宋_GB2312"/>
        <w:sz w:val="28"/>
        <w:szCs w:val="28"/>
      </w:rPr>
      <w:fldChar w:fldCharType="begin"/>
    </w:r>
    <w:r>
      <w:rPr>
        <w:rFonts w:hint="eastAsia" w:ascii="仿宋" w:hAnsi="仿宋" w:eastAsia="仿宋" w:cs="仿宋_GB2312"/>
        <w:sz w:val="28"/>
        <w:szCs w:val="28"/>
      </w:rPr>
      <w:instrText xml:space="preserve"> PAGE  \* MERGEFORMAT </w:instrText>
    </w:r>
    <w:r>
      <w:rPr>
        <w:rFonts w:hint="eastAsia" w:ascii="仿宋" w:hAnsi="仿宋" w:eastAsia="仿宋" w:cs="仿宋_GB2312"/>
        <w:sz w:val="28"/>
        <w:szCs w:val="28"/>
      </w:rPr>
      <w:fldChar w:fldCharType="separate"/>
    </w:r>
    <w:r>
      <w:rPr>
        <w:rFonts w:ascii="仿宋" w:hAnsi="仿宋" w:eastAsia="仿宋"/>
        <w:sz w:val="28"/>
        <w:szCs w:val="28"/>
      </w:rPr>
      <w:t>1</w:t>
    </w:r>
    <w:r>
      <w:rPr>
        <w:rFonts w:hint="eastAsia" w:ascii="仿宋" w:hAnsi="仿宋" w:eastAsia="仿宋" w:cs="仿宋_GB2312"/>
        <w:sz w:val="28"/>
        <w:szCs w:val="28"/>
      </w:rPr>
      <w:fldChar w:fldCharType="end"/>
    </w:r>
    <w:r>
      <w:rPr>
        <w:rFonts w:hint="eastAsia" w:ascii="仿宋" w:hAnsi="仿宋" w:eastAsia="仿宋" w:cs="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hint="eastAsia" w:ascii="仿宋_GB2312" w:hAnsi="仿宋_GB2312" w:eastAsia="仿宋_GB2312" w:cs="仿宋_GB2312"/>
        <w:sz w:val="32"/>
        <w:szCs w:val="32"/>
      </w:rPr>
    </w:pP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 xml:space="preserve">― </w:t>
    </w:r>
    <w:r>
      <w:rPr>
        <w:rFonts w:hint="eastAsia" w:ascii="仿宋" w:hAnsi="仿宋" w:eastAsia="仿宋" w:cs="仿宋_GB2312"/>
        <w:sz w:val="28"/>
        <w:szCs w:val="28"/>
      </w:rPr>
      <w:fldChar w:fldCharType="begin"/>
    </w:r>
    <w:r>
      <w:rPr>
        <w:rFonts w:hint="eastAsia" w:ascii="仿宋" w:hAnsi="仿宋" w:eastAsia="仿宋" w:cs="仿宋_GB2312"/>
        <w:sz w:val="28"/>
        <w:szCs w:val="28"/>
      </w:rPr>
      <w:instrText xml:space="preserve"> PAGE  \* MERGEFORMAT </w:instrText>
    </w:r>
    <w:r>
      <w:rPr>
        <w:rFonts w:hint="eastAsia" w:ascii="仿宋" w:hAnsi="仿宋" w:eastAsia="仿宋" w:cs="仿宋_GB2312"/>
        <w:sz w:val="28"/>
        <w:szCs w:val="28"/>
      </w:rPr>
      <w:fldChar w:fldCharType="separate"/>
    </w:r>
    <w:r>
      <w:rPr>
        <w:rFonts w:ascii="仿宋" w:hAnsi="仿宋" w:eastAsia="仿宋"/>
        <w:sz w:val="28"/>
        <w:szCs w:val="28"/>
      </w:rPr>
      <w:t>2</w:t>
    </w:r>
    <w:r>
      <w:rPr>
        <w:rFonts w:hint="eastAsia" w:ascii="仿宋" w:hAnsi="仿宋" w:eastAsia="仿宋" w:cs="仿宋_GB2312"/>
        <w:sz w:val="28"/>
        <w:szCs w:val="28"/>
      </w:rPr>
      <w:fldChar w:fldCharType="end"/>
    </w:r>
    <w:r>
      <w:rPr>
        <w:rFonts w:hint="eastAsia" w:ascii="仿宋" w:hAnsi="仿宋" w:eastAsia="仿宋" w:cs="仿宋_GB2312"/>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EE78F"/>
    <w:multiLevelType w:val="singleLevel"/>
    <w:tmpl w:val="BD5EE7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105"/>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53627"/>
    <w:rsid w:val="00016184"/>
    <w:rsid w:val="000261CA"/>
    <w:rsid w:val="00030E66"/>
    <w:rsid w:val="00073C1C"/>
    <w:rsid w:val="00073FCD"/>
    <w:rsid w:val="00122A3A"/>
    <w:rsid w:val="0013468A"/>
    <w:rsid w:val="001437BD"/>
    <w:rsid w:val="00167497"/>
    <w:rsid w:val="001758E7"/>
    <w:rsid w:val="00187CDD"/>
    <w:rsid w:val="001B6AC6"/>
    <w:rsid w:val="001C434C"/>
    <w:rsid w:val="001D6EC5"/>
    <w:rsid w:val="00244B44"/>
    <w:rsid w:val="00256CD9"/>
    <w:rsid w:val="002702D3"/>
    <w:rsid w:val="002734F0"/>
    <w:rsid w:val="00293B6C"/>
    <w:rsid w:val="002A21CA"/>
    <w:rsid w:val="002D1F1B"/>
    <w:rsid w:val="00316081"/>
    <w:rsid w:val="003626AA"/>
    <w:rsid w:val="00380F3E"/>
    <w:rsid w:val="00390605"/>
    <w:rsid w:val="003B0475"/>
    <w:rsid w:val="003B24E3"/>
    <w:rsid w:val="003B31E5"/>
    <w:rsid w:val="003C4CE9"/>
    <w:rsid w:val="003C71B7"/>
    <w:rsid w:val="003E120C"/>
    <w:rsid w:val="003E29AA"/>
    <w:rsid w:val="003E7F10"/>
    <w:rsid w:val="003F408B"/>
    <w:rsid w:val="00401FFE"/>
    <w:rsid w:val="00406482"/>
    <w:rsid w:val="004173C5"/>
    <w:rsid w:val="00440C89"/>
    <w:rsid w:val="00495750"/>
    <w:rsid w:val="004F410E"/>
    <w:rsid w:val="00504BEB"/>
    <w:rsid w:val="005467F7"/>
    <w:rsid w:val="00620AE0"/>
    <w:rsid w:val="006216FA"/>
    <w:rsid w:val="00650D34"/>
    <w:rsid w:val="006548EB"/>
    <w:rsid w:val="006774A0"/>
    <w:rsid w:val="00690833"/>
    <w:rsid w:val="006D1024"/>
    <w:rsid w:val="006E3D50"/>
    <w:rsid w:val="007320A7"/>
    <w:rsid w:val="007A0BFE"/>
    <w:rsid w:val="007B6C2F"/>
    <w:rsid w:val="007B7AFE"/>
    <w:rsid w:val="007D7C59"/>
    <w:rsid w:val="007F7758"/>
    <w:rsid w:val="00846880"/>
    <w:rsid w:val="00846D44"/>
    <w:rsid w:val="008E5347"/>
    <w:rsid w:val="00916FBC"/>
    <w:rsid w:val="00952B9E"/>
    <w:rsid w:val="009641CE"/>
    <w:rsid w:val="0096720F"/>
    <w:rsid w:val="00986723"/>
    <w:rsid w:val="009B6BAC"/>
    <w:rsid w:val="00A17135"/>
    <w:rsid w:val="00A62C32"/>
    <w:rsid w:val="00AC33E4"/>
    <w:rsid w:val="00B136A9"/>
    <w:rsid w:val="00B51548"/>
    <w:rsid w:val="00B77E0E"/>
    <w:rsid w:val="00B87ADC"/>
    <w:rsid w:val="00BA3DF2"/>
    <w:rsid w:val="00C13569"/>
    <w:rsid w:val="00C34246"/>
    <w:rsid w:val="00C35161"/>
    <w:rsid w:val="00C37D31"/>
    <w:rsid w:val="00C47FC3"/>
    <w:rsid w:val="00C5740D"/>
    <w:rsid w:val="00C929DB"/>
    <w:rsid w:val="00CE52C7"/>
    <w:rsid w:val="00D06D3E"/>
    <w:rsid w:val="00D54008"/>
    <w:rsid w:val="00D82E97"/>
    <w:rsid w:val="00DC13A9"/>
    <w:rsid w:val="00DC6775"/>
    <w:rsid w:val="00E173EF"/>
    <w:rsid w:val="00E97F6B"/>
    <w:rsid w:val="00EA7550"/>
    <w:rsid w:val="00F070AB"/>
    <w:rsid w:val="00F95E08"/>
    <w:rsid w:val="013E0158"/>
    <w:rsid w:val="02310DE3"/>
    <w:rsid w:val="044E217E"/>
    <w:rsid w:val="04557CDA"/>
    <w:rsid w:val="04563D6A"/>
    <w:rsid w:val="047B7160"/>
    <w:rsid w:val="05714076"/>
    <w:rsid w:val="060B1F15"/>
    <w:rsid w:val="060F5C55"/>
    <w:rsid w:val="06170853"/>
    <w:rsid w:val="074E33EA"/>
    <w:rsid w:val="08263016"/>
    <w:rsid w:val="09545168"/>
    <w:rsid w:val="097D0472"/>
    <w:rsid w:val="0A7864FB"/>
    <w:rsid w:val="0B3A32D0"/>
    <w:rsid w:val="0B94464C"/>
    <w:rsid w:val="0C214323"/>
    <w:rsid w:val="0C285854"/>
    <w:rsid w:val="0D236E5E"/>
    <w:rsid w:val="0D303973"/>
    <w:rsid w:val="0D9C7F32"/>
    <w:rsid w:val="0DEA00BD"/>
    <w:rsid w:val="0E710BDE"/>
    <w:rsid w:val="0E822ACA"/>
    <w:rsid w:val="0F222160"/>
    <w:rsid w:val="0F853A2C"/>
    <w:rsid w:val="0FAC07FC"/>
    <w:rsid w:val="0FE22015"/>
    <w:rsid w:val="0FF275C0"/>
    <w:rsid w:val="10E10F18"/>
    <w:rsid w:val="123F14C6"/>
    <w:rsid w:val="134C18A2"/>
    <w:rsid w:val="13A22754"/>
    <w:rsid w:val="13B61FE7"/>
    <w:rsid w:val="14660C7D"/>
    <w:rsid w:val="147E5971"/>
    <w:rsid w:val="14EE5A79"/>
    <w:rsid w:val="150F5AEF"/>
    <w:rsid w:val="152A0987"/>
    <w:rsid w:val="157717F4"/>
    <w:rsid w:val="159870D4"/>
    <w:rsid w:val="1635484A"/>
    <w:rsid w:val="165023F3"/>
    <w:rsid w:val="16604B28"/>
    <w:rsid w:val="17A22B6C"/>
    <w:rsid w:val="189165BB"/>
    <w:rsid w:val="18E94268"/>
    <w:rsid w:val="18FF55D2"/>
    <w:rsid w:val="193B5DCE"/>
    <w:rsid w:val="199268BF"/>
    <w:rsid w:val="19AB1B51"/>
    <w:rsid w:val="1A513904"/>
    <w:rsid w:val="1B247589"/>
    <w:rsid w:val="1B364016"/>
    <w:rsid w:val="1BB17650"/>
    <w:rsid w:val="1C031767"/>
    <w:rsid w:val="1C145042"/>
    <w:rsid w:val="1C1B183F"/>
    <w:rsid w:val="1CBB7632"/>
    <w:rsid w:val="1CBE2CA8"/>
    <w:rsid w:val="1D28020D"/>
    <w:rsid w:val="1EEB5998"/>
    <w:rsid w:val="20BA1134"/>
    <w:rsid w:val="2132127F"/>
    <w:rsid w:val="21573774"/>
    <w:rsid w:val="21AA1E5E"/>
    <w:rsid w:val="21BC685B"/>
    <w:rsid w:val="228A34BE"/>
    <w:rsid w:val="22D26A25"/>
    <w:rsid w:val="23D333A2"/>
    <w:rsid w:val="24357C5E"/>
    <w:rsid w:val="246A1028"/>
    <w:rsid w:val="24E70F7F"/>
    <w:rsid w:val="24E80F10"/>
    <w:rsid w:val="25160588"/>
    <w:rsid w:val="26030D12"/>
    <w:rsid w:val="26506C2E"/>
    <w:rsid w:val="268E3C87"/>
    <w:rsid w:val="26D6473E"/>
    <w:rsid w:val="27316FD1"/>
    <w:rsid w:val="27C6239F"/>
    <w:rsid w:val="280D5840"/>
    <w:rsid w:val="28853627"/>
    <w:rsid w:val="29756E69"/>
    <w:rsid w:val="298B218B"/>
    <w:rsid w:val="29FD37DE"/>
    <w:rsid w:val="2A731DC1"/>
    <w:rsid w:val="2AE85959"/>
    <w:rsid w:val="2B86454F"/>
    <w:rsid w:val="2D386EE7"/>
    <w:rsid w:val="2D8800C0"/>
    <w:rsid w:val="2DBC5F23"/>
    <w:rsid w:val="2E4F2429"/>
    <w:rsid w:val="2E5033C0"/>
    <w:rsid w:val="2F0724E2"/>
    <w:rsid w:val="2F5D17D4"/>
    <w:rsid w:val="2FEA7749"/>
    <w:rsid w:val="307036C6"/>
    <w:rsid w:val="30B108A4"/>
    <w:rsid w:val="315269D9"/>
    <w:rsid w:val="31C2314D"/>
    <w:rsid w:val="32A56D22"/>
    <w:rsid w:val="33547F22"/>
    <w:rsid w:val="33BF4A1E"/>
    <w:rsid w:val="33C45502"/>
    <w:rsid w:val="343C15A4"/>
    <w:rsid w:val="345E3D65"/>
    <w:rsid w:val="3472721B"/>
    <w:rsid w:val="3480593D"/>
    <w:rsid w:val="34FB66DB"/>
    <w:rsid w:val="35883F76"/>
    <w:rsid w:val="35A05AC2"/>
    <w:rsid w:val="35D2401B"/>
    <w:rsid w:val="35D760CC"/>
    <w:rsid w:val="35F33E6E"/>
    <w:rsid w:val="365C36B4"/>
    <w:rsid w:val="37926C1D"/>
    <w:rsid w:val="382C3A92"/>
    <w:rsid w:val="39472A98"/>
    <w:rsid w:val="39904936"/>
    <w:rsid w:val="39B70A9B"/>
    <w:rsid w:val="3A48111A"/>
    <w:rsid w:val="3A62357A"/>
    <w:rsid w:val="3AE138A5"/>
    <w:rsid w:val="3B516D95"/>
    <w:rsid w:val="3BF7389E"/>
    <w:rsid w:val="3C14193D"/>
    <w:rsid w:val="3C7A6E24"/>
    <w:rsid w:val="3CD070A1"/>
    <w:rsid w:val="3CE2616A"/>
    <w:rsid w:val="3D2764CB"/>
    <w:rsid w:val="3D382939"/>
    <w:rsid w:val="3D4A6B8F"/>
    <w:rsid w:val="3DEC3FA6"/>
    <w:rsid w:val="3EDC3D1A"/>
    <w:rsid w:val="3EDE3DD8"/>
    <w:rsid w:val="3F1C05D4"/>
    <w:rsid w:val="3F211D85"/>
    <w:rsid w:val="3F9E1654"/>
    <w:rsid w:val="40727222"/>
    <w:rsid w:val="40CA6FDB"/>
    <w:rsid w:val="411221FD"/>
    <w:rsid w:val="41205127"/>
    <w:rsid w:val="41732736"/>
    <w:rsid w:val="418B692A"/>
    <w:rsid w:val="41BD717D"/>
    <w:rsid w:val="432364D3"/>
    <w:rsid w:val="43305FE1"/>
    <w:rsid w:val="4358139B"/>
    <w:rsid w:val="435B21F1"/>
    <w:rsid w:val="43650E73"/>
    <w:rsid w:val="43844500"/>
    <w:rsid w:val="43DD1D01"/>
    <w:rsid w:val="44B138C4"/>
    <w:rsid w:val="44F40AF6"/>
    <w:rsid w:val="45306841"/>
    <w:rsid w:val="4600097C"/>
    <w:rsid w:val="470F4447"/>
    <w:rsid w:val="474773B5"/>
    <w:rsid w:val="47636872"/>
    <w:rsid w:val="482B66EA"/>
    <w:rsid w:val="48B30D23"/>
    <w:rsid w:val="49032C73"/>
    <w:rsid w:val="493D4297"/>
    <w:rsid w:val="499F2306"/>
    <w:rsid w:val="49AE5883"/>
    <w:rsid w:val="4A927624"/>
    <w:rsid w:val="4AD831C6"/>
    <w:rsid w:val="4B3C2521"/>
    <w:rsid w:val="4B3C3A6E"/>
    <w:rsid w:val="4B917A10"/>
    <w:rsid w:val="4C0B716B"/>
    <w:rsid w:val="4C160C58"/>
    <w:rsid w:val="4C593353"/>
    <w:rsid w:val="4C875806"/>
    <w:rsid w:val="4CD26A4C"/>
    <w:rsid w:val="4D3959D4"/>
    <w:rsid w:val="4DBD45F1"/>
    <w:rsid w:val="4E430B40"/>
    <w:rsid w:val="4E6712CB"/>
    <w:rsid w:val="4EC766DF"/>
    <w:rsid w:val="4F5D610C"/>
    <w:rsid w:val="4FBEF0F8"/>
    <w:rsid w:val="4FC63557"/>
    <w:rsid w:val="502E228A"/>
    <w:rsid w:val="50A13C15"/>
    <w:rsid w:val="51803EA4"/>
    <w:rsid w:val="5187690E"/>
    <w:rsid w:val="51E651F6"/>
    <w:rsid w:val="52201228"/>
    <w:rsid w:val="52210094"/>
    <w:rsid w:val="529E7A49"/>
    <w:rsid w:val="52F578D2"/>
    <w:rsid w:val="5312305E"/>
    <w:rsid w:val="5331004C"/>
    <w:rsid w:val="537F2D14"/>
    <w:rsid w:val="53983CBC"/>
    <w:rsid w:val="53D16ED8"/>
    <w:rsid w:val="53EB386C"/>
    <w:rsid w:val="547726CE"/>
    <w:rsid w:val="54D86D10"/>
    <w:rsid w:val="56E20DC4"/>
    <w:rsid w:val="57F33694"/>
    <w:rsid w:val="58340969"/>
    <w:rsid w:val="589B1AC9"/>
    <w:rsid w:val="592E1E9D"/>
    <w:rsid w:val="59863D11"/>
    <w:rsid w:val="5A4E7296"/>
    <w:rsid w:val="5AC44D17"/>
    <w:rsid w:val="5ADC495B"/>
    <w:rsid w:val="5AE358EC"/>
    <w:rsid w:val="5B1304F9"/>
    <w:rsid w:val="5B970C8F"/>
    <w:rsid w:val="5BA75F3F"/>
    <w:rsid w:val="5C2C1E83"/>
    <w:rsid w:val="5C3075CB"/>
    <w:rsid w:val="5CFB550C"/>
    <w:rsid w:val="5D337187"/>
    <w:rsid w:val="5D6720C4"/>
    <w:rsid w:val="5DBA2D64"/>
    <w:rsid w:val="5E480E4F"/>
    <w:rsid w:val="5E78520B"/>
    <w:rsid w:val="5E8A3D26"/>
    <w:rsid w:val="5EEB35F9"/>
    <w:rsid w:val="5EF865B3"/>
    <w:rsid w:val="5F333B8A"/>
    <w:rsid w:val="5FBE22B5"/>
    <w:rsid w:val="600F47FA"/>
    <w:rsid w:val="609051D4"/>
    <w:rsid w:val="60F62168"/>
    <w:rsid w:val="611277DC"/>
    <w:rsid w:val="618964E9"/>
    <w:rsid w:val="619A56B9"/>
    <w:rsid w:val="61C25281"/>
    <w:rsid w:val="626E6B8D"/>
    <w:rsid w:val="63F64913"/>
    <w:rsid w:val="64187AE6"/>
    <w:rsid w:val="642C6897"/>
    <w:rsid w:val="65B7445E"/>
    <w:rsid w:val="671C6055"/>
    <w:rsid w:val="67720453"/>
    <w:rsid w:val="680040CD"/>
    <w:rsid w:val="680C0E48"/>
    <w:rsid w:val="68135325"/>
    <w:rsid w:val="687B6A3A"/>
    <w:rsid w:val="691530EE"/>
    <w:rsid w:val="693446DD"/>
    <w:rsid w:val="69FF438F"/>
    <w:rsid w:val="6A39848E"/>
    <w:rsid w:val="6A4D05BD"/>
    <w:rsid w:val="6A675506"/>
    <w:rsid w:val="6B3B23DA"/>
    <w:rsid w:val="6BDFAFDF"/>
    <w:rsid w:val="6BF2227D"/>
    <w:rsid w:val="6BF53562"/>
    <w:rsid w:val="6C393733"/>
    <w:rsid w:val="6D227B77"/>
    <w:rsid w:val="6D6A2F67"/>
    <w:rsid w:val="6D785B86"/>
    <w:rsid w:val="6DFF64CB"/>
    <w:rsid w:val="6E223423"/>
    <w:rsid w:val="6E6D5537"/>
    <w:rsid w:val="6F670DF2"/>
    <w:rsid w:val="6F9218D7"/>
    <w:rsid w:val="6FD95D02"/>
    <w:rsid w:val="70546785"/>
    <w:rsid w:val="717ED9F8"/>
    <w:rsid w:val="72347496"/>
    <w:rsid w:val="723A2E1F"/>
    <w:rsid w:val="72B5443D"/>
    <w:rsid w:val="72D05E47"/>
    <w:rsid w:val="731A321C"/>
    <w:rsid w:val="739909BE"/>
    <w:rsid w:val="74B92403"/>
    <w:rsid w:val="76372A96"/>
    <w:rsid w:val="76E21955"/>
    <w:rsid w:val="76EF7821"/>
    <w:rsid w:val="77ECFC4C"/>
    <w:rsid w:val="77F68F34"/>
    <w:rsid w:val="781464FC"/>
    <w:rsid w:val="783C3CB8"/>
    <w:rsid w:val="78D531C0"/>
    <w:rsid w:val="78E115BA"/>
    <w:rsid w:val="79755D43"/>
    <w:rsid w:val="7A021198"/>
    <w:rsid w:val="7A356177"/>
    <w:rsid w:val="7A7575C4"/>
    <w:rsid w:val="7A7F494A"/>
    <w:rsid w:val="7A915634"/>
    <w:rsid w:val="7ADFEEAA"/>
    <w:rsid w:val="7AEFBB14"/>
    <w:rsid w:val="7B4C64B9"/>
    <w:rsid w:val="7B7D0C04"/>
    <w:rsid w:val="7BD37F2C"/>
    <w:rsid w:val="7BDFAFD5"/>
    <w:rsid w:val="7CFE2D69"/>
    <w:rsid w:val="7D16556C"/>
    <w:rsid w:val="7D336856"/>
    <w:rsid w:val="7D4B7297"/>
    <w:rsid w:val="7DF5F98D"/>
    <w:rsid w:val="7DFBFC8A"/>
    <w:rsid w:val="7DFF1EF9"/>
    <w:rsid w:val="7E295D9A"/>
    <w:rsid w:val="7FA96995"/>
    <w:rsid w:val="7FAA6FB0"/>
    <w:rsid w:val="7FCB3B1F"/>
    <w:rsid w:val="7FE704CA"/>
    <w:rsid w:val="7FF7E389"/>
    <w:rsid w:val="7FFF0E1E"/>
    <w:rsid w:val="92AF00FB"/>
    <w:rsid w:val="9FDFDC85"/>
    <w:rsid w:val="AFEE837B"/>
    <w:rsid w:val="AFFFD48C"/>
    <w:rsid w:val="B5FE7B0C"/>
    <w:rsid w:val="BF7FA8F3"/>
    <w:rsid w:val="BFB31C79"/>
    <w:rsid w:val="D7DFDC1B"/>
    <w:rsid w:val="DAF93A66"/>
    <w:rsid w:val="DFBA9682"/>
    <w:rsid w:val="DFEFF94A"/>
    <w:rsid w:val="E2FEB649"/>
    <w:rsid w:val="E5F9AEF2"/>
    <w:rsid w:val="E66F8293"/>
    <w:rsid w:val="E7AD26A8"/>
    <w:rsid w:val="E95BBAE9"/>
    <w:rsid w:val="EEBBA706"/>
    <w:rsid w:val="EF4BA681"/>
    <w:rsid w:val="EF7FC206"/>
    <w:rsid w:val="EFFF1769"/>
    <w:rsid w:val="F95FBA7B"/>
    <w:rsid w:val="FB5ED8F7"/>
    <w:rsid w:val="FBF35536"/>
    <w:rsid w:val="FCE7158D"/>
    <w:rsid w:val="FCEFFC68"/>
    <w:rsid w:val="FD7F1EA4"/>
    <w:rsid w:val="FDBF9492"/>
    <w:rsid w:val="FDFFF11A"/>
    <w:rsid w:val="FE6FAE17"/>
    <w:rsid w:val="FEFEDCA1"/>
    <w:rsid w:val="FF7F1AEE"/>
    <w:rsid w:val="FFB79FF8"/>
    <w:rsid w:val="FFEF9F78"/>
    <w:rsid w:val="FFFBE77A"/>
    <w:rsid w:val="FFFD0A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qFormat/>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仿宋_GB2312" w:cs="Times New Roman"/>
      <w:sz w:val="32"/>
      <w:szCs w:val="22"/>
    </w:rPr>
  </w:style>
  <w:style w:type="paragraph" w:styleId="4">
    <w:name w:val="footer"/>
    <w:basedOn w:val="1"/>
    <w:link w:val="11"/>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9">
    <w:name w:val="page number"/>
    <w:basedOn w:val="8"/>
    <w:uiPriority w:val="0"/>
  </w:style>
  <w:style w:type="character" w:styleId="10">
    <w:name w:val="Hyperlink"/>
    <w:uiPriority w:val="0"/>
    <w:rPr>
      <w:rFonts w:ascii="Times New Roman" w:hAnsi="Times New Roman" w:eastAsia="宋体" w:cs="Times New Roman"/>
      <w:color w:val="0000FF"/>
      <w:u w:val="single"/>
    </w:rPr>
  </w:style>
  <w:style w:type="character" w:customStyle="1" w:styleId="11">
    <w:name w:val="页脚 Char"/>
    <w:link w:val="4"/>
    <w:qFormat/>
    <w:uiPriority w:val="99"/>
    <w:rPr>
      <w:kern w:val="2"/>
      <w:sz w:val="18"/>
    </w:rPr>
  </w:style>
  <w:style w:type="character" w:customStyle="1" w:styleId="12">
    <w:name w:val="页眉 Char"/>
    <w:link w:val="5"/>
    <w:qFormat/>
    <w:uiPriority w:val="99"/>
    <w:rPr>
      <w:kern w:val="2"/>
      <w:sz w:val="18"/>
    </w:rPr>
  </w:style>
  <w:style w:type="paragraph" w:customStyle="1" w:styleId="1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14</Characters>
  <Lines>1</Lines>
  <Paragraphs>1</Paragraphs>
  <TotalTime>16</TotalTime>
  <ScaleCrop>false</ScaleCrop>
  <LinksUpToDate>false</LinksUpToDate>
  <CharactersWithSpaces>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2013-09-03T15:57:00Z</dcterms:created>
  <dc:creator>Administrator</dc:creator>
  <cp:lastModifiedBy>蒙凯</cp:lastModifiedBy>
  <cp:lastPrinted>2024-02-24T23:37:00Z</cp:lastPrinted>
  <dcterms:modified xsi:type="dcterms:W3CDTF">2024-05-08T01:07:31Z</dcterms:modified>
  <dc:title>三亚市智能公共交通信息中心文件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标题">
    <vt:lpwstr>三亚市发展和改革委员会关于三亚市天涯区申请购置救护车的请示</vt:lpwstr>
  </property>
  <property fmtid="{D5CDD505-2E9C-101B-9397-08002B2CF9AE}" pid="4" name="文种">
    <vt:lpwstr>决议</vt:lpwstr>
  </property>
  <property fmtid="{D5CDD505-2E9C-101B-9397-08002B2CF9AE}" pid="5" name="公文标识">
    <vt:lpwstr>1.2.156.10.--2022-01-01547</vt:lpwstr>
  </property>
</Properties>
</file>